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54" w:rsidRDefault="00611054" w:rsidP="00611054">
      <w:pPr>
        <w:pStyle w:val="p"/>
        <w:widowControl w:val="0"/>
        <w:overflowPunct w:val="0"/>
        <w:snapToGrid w:val="0"/>
        <w:spacing w:before="0" w:after="120" w:line="240" w:lineRule="auto"/>
        <w:rPr>
          <w:rFonts w:ascii="華康仿宋體W6(P)" w:eastAsia="華康仿宋體W6(P)" w:hAnsi="華康仿宋體W6(P)"/>
          <w:b/>
          <w:sz w:val="28"/>
          <w:szCs w:val="28"/>
        </w:rPr>
      </w:pPr>
      <w:r>
        <w:rPr>
          <w:rFonts w:ascii="華康仿宋體W6(P)" w:eastAsia="華康仿宋體W6(P)" w:hAnsi="華康仿宋體W6(P)"/>
          <w:b/>
          <w:sz w:val="28"/>
          <w:szCs w:val="28"/>
        </w:rPr>
        <w:t>法鼓文理學院計畫研究經費編列標準表</w:t>
      </w:r>
    </w:p>
    <w:p w:rsidR="00611054" w:rsidRDefault="00611054" w:rsidP="00611054">
      <w:pPr>
        <w:snapToGrid w:val="0"/>
        <w:spacing w:line="240" w:lineRule="atLeast"/>
        <w:ind w:left="2"/>
        <w:jc w:val="right"/>
        <w:rPr>
          <w:rFonts w:ascii="華康仿宋體W6(P)" w:hAnsi="華康仿宋體W6(P)" w:hint="eastAsia"/>
          <w:szCs w:val="28"/>
        </w:rPr>
      </w:pPr>
      <w:r>
        <w:rPr>
          <w:rFonts w:ascii="華康仿宋體W6(P)" w:eastAsia="華康仿宋體W6(P)" w:hAnsi="華康仿宋體W6(P)"/>
          <w:szCs w:val="28"/>
        </w:rPr>
        <w:t>107</w:t>
      </w:r>
      <w:r>
        <w:rPr>
          <w:rFonts w:ascii="華康仿宋體W6(P)" w:eastAsia="華康仿宋體W6(P)" w:hAnsi="華康仿宋體W6(P)"/>
          <w:szCs w:val="28"/>
          <w:lang w:eastAsia="zh-HK"/>
        </w:rPr>
        <w:t>年11月21日</w:t>
      </w:r>
      <w:r>
        <w:rPr>
          <w:rFonts w:ascii="華康仿宋體W6(P)" w:eastAsia="華康仿宋體W6(P)" w:hAnsi="華康仿宋體W6(P)"/>
          <w:szCs w:val="28"/>
        </w:rPr>
        <w:t>107學年第2次行政會議通過</w:t>
      </w:r>
    </w:p>
    <w:p w:rsidR="00611054" w:rsidRDefault="00611054" w:rsidP="00611054">
      <w:pPr>
        <w:pStyle w:val="Web"/>
        <w:snapToGrid w:val="0"/>
        <w:spacing w:before="0" w:after="0" w:line="240" w:lineRule="atLeast"/>
        <w:ind w:left="119" w:right="1"/>
        <w:jc w:val="right"/>
        <w:rPr>
          <w:rFonts w:ascii="華康仿宋體W6(P)" w:eastAsia="華康仿宋體W6(P)" w:hAnsi="華康仿宋體W6(P)"/>
          <w:b/>
          <w:color w:val="0000FF"/>
        </w:rPr>
      </w:pPr>
      <w:bookmarkStart w:id="0" w:name="_GoBack"/>
      <w:r>
        <w:rPr>
          <w:rFonts w:ascii="華康仿宋體W6(P)" w:eastAsia="華康仿宋體W6(P)" w:hAnsi="華康仿宋體W6(P)"/>
          <w:b/>
          <w:color w:val="0000FF"/>
        </w:rPr>
        <w:t>109年03月18日108學年第3次行政會議修訂通過</w:t>
      </w:r>
    </w:p>
    <w:bookmarkEnd w:id="0"/>
    <w:p w:rsidR="00611054" w:rsidRPr="007178DE" w:rsidRDefault="00611054" w:rsidP="00611054">
      <w:pPr>
        <w:snapToGrid w:val="0"/>
        <w:spacing w:line="240" w:lineRule="atLeast"/>
        <w:ind w:left="2"/>
        <w:jc w:val="right"/>
        <w:rPr>
          <w:rFonts w:ascii="華康仿宋體W6(P)" w:hAnsi="華康仿宋體W6(P)" w:hint="eastAsia"/>
          <w:szCs w:val="28"/>
        </w:rPr>
      </w:pPr>
    </w:p>
    <w:p w:rsidR="00611054" w:rsidRDefault="00611054" w:rsidP="00611054">
      <w:pPr>
        <w:snapToGrid w:val="0"/>
        <w:spacing w:line="240" w:lineRule="atLeast"/>
        <w:ind w:left="2"/>
        <w:jc w:val="right"/>
        <w:rPr>
          <w:rFonts w:ascii="華康仿宋體W6(P)" w:eastAsia="華康仿宋體W6(P)" w:hAnsi="華康仿宋體W6(P)"/>
          <w:szCs w:val="28"/>
        </w:rPr>
      </w:pPr>
    </w:p>
    <w:tbl>
      <w:tblPr>
        <w:tblW w:w="10738" w:type="dxa"/>
        <w:jc w:val="center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3"/>
        <w:gridCol w:w="3827"/>
        <w:gridCol w:w="5298"/>
      </w:tblGrid>
      <w:tr w:rsidR="00611054" w:rsidTr="00BC5D64">
        <w:trPr>
          <w:cantSplit/>
          <w:trHeight w:val="632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p"/>
              <w:widowControl w:val="0"/>
              <w:overflowPunct w:val="0"/>
              <w:snapToGrid w:val="0"/>
              <w:spacing w:before="0" w:line="240" w:lineRule="atLeast"/>
              <w:rPr>
                <w:rFonts w:ascii="華康仿宋體W6(P)" w:eastAsia="華康仿宋體W6(P)" w:hAnsi="華康仿宋體W6(P)" w:cs="Times New Roman"/>
                <w:b/>
                <w:szCs w:val="28"/>
              </w:rPr>
            </w:pPr>
            <w:r>
              <w:rPr>
                <w:rFonts w:ascii="華康仿宋體W6(P)" w:eastAsia="華康仿宋體W6(P)" w:hAnsi="華康仿宋體W6(P)" w:cs="Times New Roman"/>
                <w:b/>
                <w:szCs w:val="28"/>
              </w:rPr>
              <w:t>項目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p"/>
              <w:widowControl w:val="0"/>
              <w:overflowPunct w:val="0"/>
              <w:snapToGrid w:val="0"/>
              <w:spacing w:before="0" w:line="240" w:lineRule="atLeast"/>
              <w:rPr>
                <w:rFonts w:ascii="華康仿宋體W6(P)" w:eastAsia="華康仿宋體W6(P)" w:hAnsi="華康仿宋體W6(P)" w:cs="Times New Roman"/>
                <w:b/>
                <w:szCs w:val="28"/>
              </w:rPr>
            </w:pPr>
            <w:r>
              <w:rPr>
                <w:rFonts w:ascii="華康仿宋體W6(P)" w:eastAsia="華康仿宋體W6(P)" w:hAnsi="華康仿宋體W6(P)" w:cs="Times New Roman"/>
                <w:b/>
                <w:szCs w:val="28"/>
              </w:rPr>
              <w:t>支給標準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b/>
                <w:szCs w:val="28"/>
              </w:rPr>
            </w:pPr>
            <w:r>
              <w:rPr>
                <w:rFonts w:ascii="華康仿宋體W6(P)" w:eastAsia="華康仿宋體W6(P)" w:hAnsi="華康仿宋體W6(P)"/>
                <w:b/>
                <w:szCs w:val="28"/>
              </w:rPr>
              <w:t>備註</w:t>
            </w:r>
          </w:p>
        </w:tc>
      </w:tr>
      <w:tr w:rsidR="00611054" w:rsidTr="00BC5D64">
        <w:trPr>
          <w:cantSplit/>
          <w:trHeight w:val="14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t>研究人員經費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ind w:left="2"/>
              <w:jc w:val="both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主持費、專兼任助理薪資，依照補助單位核定清單與支給規定辦理。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ind w:left="315" w:hanging="31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1. 專兼任助理之聘用與管理，依本校人員進用與人事相關規定辦理。</w:t>
            </w:r>
          </w:p>
          <w:p w:rsidR="00611054" w:rsidRDefault="00611054" w:rsidP="00BC5D64">
            <w:pPr>
              <w:snapToGrid w:val="0"/>
              <w:spacing w:line="240" w:lineRule="atLeast"/>
              <w:ind w:left="315" w:hanging="31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 xml:space="preserve">2. </w:t>
            </w:r>
            <w:proofErr w:type="gramStart"/>
            <w:r>
              <w:rPr>
                <w:rFonts w:ascii="華康仿宋體W6(P)" w:eastAsia="華康仿宋體W6(P)" w:hAnsi="華康仿宋體W6(P)" w:cs="Arial Unicode MS"/>
                <w:szCs w:val="28"/>
              </w:rPr>
              <w:t>勞</w:t>
            </w:r>
            <w:proofErr w:type="gramEnd"/>
            <w:r>
              <w:rPr>
                <w:rFonts w:ascii="華康仿宋體W6(P)" w:eastAsia="華康仿宋體W6(P)" w:hAnsi="華康仿宋體W6(P)" w:cs="Arial Unicode MS"/>
                <w:szCs w:val="28"/>
              </w:rPr>
              <w:t>健保費、補充保費、勞工退休金或離職儲金，依照</w:t>
            </w:r>
            <w:proofErr w:type="gramStart"/>
            <w:r>
              <w:rPr>
                <w:rFonts w:ascii="華康仿宋體W6(P)" w:eastAsia="華康仿宋體W6(P)" w:hAnsi="華康仿宋體W6(P)" w:cs="Arial Unicode MS"/>
                <w:szCs w:val="28"/>
              </w:rPr>
              <w:t>勞動部與補助</w:t>
            </w:r>
            <w:proofErr w:type="gramEnd"/>
            <w:r>
              <w:rPr>
                <w:rFonts w:ascii="華康仿宋體W6(P)" w:eastAsia="華康仿宋體W6(P)" w:hAnsi="華康仿宋體W6(P)" w:cs="Arial Unicode MS"/>
                <w:szCs w:val="28"/>
              </w:rPr>
              <w:t>單位規定辦理。</w:t>
            </w:r>
          </w:p>
          <w:p w:rsidR="00611054" w:rsidRDefault="00611054" w:rsidP="00BC5D64">
            <w:pPr>
              <w:snapToGrid w:val="0"/>
              <w:spacing w:line="240" w:lineRule="atLeast"/>
              <w:ind w:left="315" w:hanging="31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3. 校內簽請核定後執行。</w:t>
            </w:r>
          </w:p>
        </w:tc>
      </w:tr>
      <w:tr w:rsidR="00611054" w:rsidTr="00BC5D64">
        <w:trPr>
          <w:cantSplit/>
          <w:trHeight w:val="14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t>問卷調查費</w:t>
            </w: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br/>
              <w:t>(訪問費)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ind w:left="2"/>
              <w:jc w:val="both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1. 問卷印刷費，依需要編列。</w:t>
            </w:r>
          </w:p>
          <w:p w:rsidR="00611054" w:rsidRDefault="00611054" w:rsidP="00BC5D64">
            <w:pPr>
              <w:snapToGrid w:val="0"/>
              <w:spacing w:line="240" w:lineRule="atLeast"/>
              <w:ind w:left="2"/>
              <w:jc w:val="both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2. 郵費依郵寄問卷份數計列。</w:t>
            </w:r>
          </w:p>
          <w:p w:rsidR="00611054" w:rsidRDefault="00611054" w:rsidP="00BC5D64">
            <w:pPr>
              <w:snapToGrid w:val="0"/>
              <w:spacing w:line="240" w:lineRule="atLeast"/>
              <w:ind w:left="2"/>
              <w:jc w:val="both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3. 調查費每份上限300元以內。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ind w:left="2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1. 研究人員不得支領本項費用。</w:t>
            </w:r>
          </w:p>
          <w:p w:rsidR="00611054" w:rsidRDefault="00611054" w:rsidP="00BC5D64">
            <w:pPr>
              <w:snapToGrid w:val="0"/>
              <w:spacing w:line="240" w:lineRule="atLeast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2. 校內簽請核定後執行，受訪者簽收領據，其餘檢據核銷。</w:t>
            </w:r>
          </w:p>
          <w:p w:rsidR="00611054" w:rsidRDefault="00611054" w:rsidP="00BC5D64">
            <w:pPr>
              <w:snapToGrid w:val="0"/>
              <w:spacing w:line="240" w:lineRule="atLeast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3. 調查費，依問卷</w:t>
            </w:r>
            <w:proofErr w:type="gramStart"/>
            <w:r>
              <w:rPr>
                <w:rFonts w:ascii="華康仿宋體W6(P)" w:eastAsia="華康仿宋體W6(P)" w:hAnsi="華康仿宋體W6(P)" w:cs="Arial Unicode MS"/>
                <w:szCs w:val="28"/>
              </w:rPr>
              <w:t>內容之繁簡</w:t>
            </w:r>
            <w:proofErr w:type="gramEnd"/>
            <w:r>
              <w:rPr>
                <w:rFonts w:ascii="華康仿宋體W6(P)" w:eastAsia="華康仿宋體W6(P)" w:hAnsi="華康仿宋體W6(P)" w:cs="Arial Unicode MS"/>
                <w:szCs w:val="28"/>
              </w:rPr>
              <w:t>程度估計金額。</w:t>
            </w:r>
          </w:p>
        </w:tc>
      </w:tr>
      <w:tr w:rsidR="00611054" w:rsidTr="00BC5D64">
        <w:trPr>
          <w:cantSplit/>
          <w:trHeight w:val="5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t>出席費</w:t>
            </w: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br/>
              <w:t>(諮詢、訪談、指導、座談會)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jc w:val="both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每人每次不得高於2,000元。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ind w:left="329" w:hanging="329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1. 邀請本校以外之學者專家，參加具有政策性或專家性之重大諮詢事項為限。</w:t>
            </w:r>
          </w:p>
          <w:p w:rsidR="00611054" w:rsidRDefault="00611054" w:rsidP="00BC5D64">
            <w:pPr>
              <w:snapToGrid w:val="0"/>
              <w:spacing w:line="240" w:lineRule="atLeast"/>
              <w:ind w:left="223" w:hanging="22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2. 校內簽請核定後執行。</w:t>
            </w:r>
          </w:p>
          <w:p w:rsidR="00611054" w:rsidRDefault="00611054" w:rsidP="00BC5D64">
            <w:pPr>
              <w:snapToGrid w:val="0"/>
              <w:spacing w:line="240" w:lineRule="atLeast"/>
              <w:ind w:left="223" w:hanging="22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3. 核銷</w:t>
            </w:r>
            <w:proofErr w:type="gramStart"/>
            <w:r>
              <w:rPr>
                <w:rFonts w:ascii="華康仿宋體W6(P)" w:eastAsia="華康仿宋體W6(P)" w:hAnsi="華康仿宋體W6(P)" w:cs="Arial Unicode MS"/>
                <w:szCs w:val="28"/>
              </w:rPr>
              <w:t>時檢附領</w:t>
            </w:r>
            <w:proofErr w:type="gramEnd"/>
            <w:r>
              <w:rPr>
                <w:rFonts w:ascii="華康仿宋體W6(P)" w:eastAsia="華康仿宋體W6(P)" w:hAnsi="華康仿宋體W6(P)" w:cs="Arial Unicode MS"/>
                <w:szCs w:val="28"/>
              </w:rPr>
              <w:t>據、會議(訪談)紀錄及簽到表。</w:t>
            </w:r>
          </w:p>
        </w:tc>
      </w:tr>
      <w:tr w:rsidR="00611054" w:rsidTr="00BC5D64">
        <w:trPr>
          <w:cantSplit/>
          <w:trHeight w:val="5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t>國內差旅費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1. 包含交通費、住宿費。</w:t>
            </w:r>
          </w:p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2. 依「法鼓文理學院教職員工出差旅費報支要點」與「教職員工國內出差旅費報支數額表」規定辦理。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ind w:left="341" w:hanging="341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1. 出差人員之期間及行程，應視事實之需要預估金額，簽請核定後執行。</w:t>
            </w:r>
          </w:p>
          <w:p w:rsidR="00611054" w:rsidRDefault="00611054" w:rsidP="00BC5D64">
            <w:pPr>
              <w:snapToGrid w:val="0"/>
              <w:spacing w:line="240" w:lineRule="atLeast"/>
              <w:ind w:left="341" w:hanging="341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2. 應檢附票根、購票證明、收據或活動照片等相關文件</w:t>
            </w:r>
            <w:proofErr w:type="gramStart"/>
            <w:r>
              <w:rPr>
                <w:rFonts w:ascii="華康仿宋體W6(P)" w:eastAsia="華康仿宋體W6(P)" w:hAnsi="華康仿宋體W6(P)" w:cs="Arial Unicode MS"/>
                <w:szCs w:val="28"/>
              </w:rPr>
              <w:t>覈</w:t>
            </w:r>
            <w:proofErr w:type="gramEnd"/>
            <w:r>
              <w:rPr>
                <w:rFonts w:ascii="華康仿宋體W6(P)" w:eastAsia="華康仿宋體W6(P)" w:hAnsi="華康仿宋體W6(P)" w:cs="Arial Unicode MS"/>
                <w:szCs w:val="28"/>
              </w:rPr>
              <w:t>實報支。</w:t>
            </w:r>
          </w:p>
          <w:p w:rsidR="00611054" w:rsidRDefault="00611054" w:rsidP="00BC5D64">
            <w:pPr>
              <w:snapToGrid w:val="0"/>
              <w:spacing w:line="240" w:lineRule="atLeast"/>
              <w:ind w:left="329" w:hanging="329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3. 出差事畢，應於十五日內檢具出差旅費報告表，連同有關單據，一併報請學校審核。</w:t>
            </w:r>
          </w:p>
        </w:tc>
      </w:tr>
      <w:tr w:rsidR="00611054" w:rsidTr="00BC5D64">
        <w:trPr>
          <w:cantSplit/>
          <w:trHeight w:val="5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b w:val="0"/>
                <w:color w:val="000000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color w:val="000000"/>
                <w:sz w:val="22"/>
                <w:szCs w:val="28"/>
              </w:rPr>
              <w:t>雜費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Pr="00611054" w:rsidRDefault="00611054" w:rsidP="00BC5D64">
            <w:pPr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/>
                <w:color w:val="000000"/>
                <w:szCs w:val="28"/>
              </w:rPr>
            </w:pPr>
            <w:r w:rsidRPr="00611054">
              <w:rPr>
                <w:rFonts w:ascii="華康仿宋體W6(P)" w:eastAsia="華康仿宋體W6(P)" w:hAnsi="華康仿宋體W6(P)"/>
                <w:color w:val="000000"/>
                <w:szCs w:val="28"/>
              </w:rPr>
              <w:t>每日上限400元。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Pr="00611054" w:rsidRDefault="00611054" w:rsidP="00BC5D64">
            <w:pPr>
              <w:snapToGrid w:val="0"/>
              <w:spacing w:line="240" w:lineRule="atLeast"/>
              <w:ind w:left="341" w:hanging="341"/>
              <w:jc w:val="both"/>
              <w:rPr>
                <w:rFonts w:ascii="華康仿宋體W6(P)" w:eastAsia="華康仿宋體W6(P)" w:hAnsi="華康仿宋體W6(P)" w:cs="Arial Unicode MS"/>
                <w:color w:val="000000"/>
                <w:szCs w:val="28"/>
              </w:rPr>
            </w:pPr>
            <w:r w:rsidRPr="00611054">
              <w:rPr>
                <w:rFonts w:ascii="華康仿宋體W6(P)" w:eastAsia="華康仿宋體W6(P)" w:hAnsi="華康仿宋體W6(P)" w:cs="Arial Unicode MS"/>
                <w:color w:val="000000"/>
                <w:szCs w:val="28"/>
              </w:rPr>
              <w:t>1. 出差人員之期間及行程，應視事實之需要預估金額，簽請核定後執行。</w:t>
            </w:r>
          </w:p>
          <w:p w:rsidR="00611054" w:rsidRPr="00611054" w:rsidRDefault="00611054" w:rsidP="00BC5D64">
            <w:pPr>
              <w:snapToGrid w:val="0"/>
              <w:spacing w:line="240" w:lineRule="atLeast"/>
              <w:ind w:left="341" w:hanging="341"/>
              <w:jc w:val="both"/>
              <w:rPr>
                <w:rFonts w:ascii="華康仿宋體W6(P)" w:eastAsia="華康仿宋體W6(P)" w:hAnsi="華康仿宋體W6(P)" w:cs="Arial Unicode MS"/>
                <w:color w:val="000000"/>
                <w:szCs w:val="28"/>
              </w:rPr>
            </w:pPr>
            <w:r w:rsidRPr="00611054">
              <w:rPr>
                <w:rFonts w:ascii="華康仿宋體W6(P)" w:eastAsia="華康仿宋體W6(P)" w:hAnsi="華康仿宋體W6(P)" w:cs="Arial Unicode MS"/>
                <w:color w:val="000000"/>
                <w:szCs w:val="28"/>
              </w:rPr>
              <w:t>2. 出差事畢，檢具出差旅費報告表辦理核銷，另附會議通知、會議行程或照片。</w:t>
            </w:r>
          </w:p>
          <w:p w:rsidR="00611054" w:rsidRPr="00611054" w:rsidRDefault="00611054" w:rsidP="00BC5D64">
            <w:pPr>
              <w:snapToGrid w:val="0"/>
              <w:spacing w:line="240" w:lineRule="atLeast"/>
              <w:ind w:left="341" w:hanging="341"/>
              <w:jc w:val="both"/>
              <w:rPr>
                <w:rFonts w:ascii="華康仿宋體W6(P)" w:eastAsia="華康仿宋體W6(P)" w:hAnsi="華康仿宋體W6(P)" w:cs="Arial Unicode MS"/>
                <w:color w:val="000000"/>
                <w:szCs w:val="28"/>
              </w:rPr>
            </w:pPr>
            <w:r w:rsidRPr="00611054">
              <w:rPr>
                <w:rFonts w:ascii="華康仿宋體W6(P)" w:eastAsia="華康仿宋體W6(P)" w:hAnsi="華康仿宋體W6(P)" w:cs="Arial Unicode MS"/>
                <w:color w:val="000000"/>
                <w:szCs w:val="28"/>
              </w:rPr>
              <w:t>3. 以全日之公務行程為原則（半日不適用），且不適用於</w:t>
            </w:r>
            <w:proofErr w:type="gramStart"/>
            <w:r w:rsidRPr="00611054">
              <w:rPr>
                <w:rFonts w:ascii="華康仿宋體W6(P)" w:eastAsia="華康仿宋體W6(P)" w:hAnsi="華康仿宋體W6(P)" w:cs="Arial Unicode MS"/>
                <w:color w:val="000000"/>
                <w:szCs w:val="28"/>
              </w:rPr>
              <w:t>供膳或交通</w:t>
            </w:r>
            <w:proofErr w:type="gramEnd"/>
            <w:r w:rsidRPr="00611054">
              <w:rPr>
                <w:rFonts w:ascii="華康仿宋體W6(P)" w:eastAsia="華康仿宋體W6(P)" w:hAnsi="華康仿宋體W6(P)" w:cs="Arial Unicode MS"/>
                <w:color w:val="000000"/>
                <w:szCs w:val="28"/>
              </w:rPr>
              <w:t>補助之公務活動。</w:t>
            </w:r>
          </w:p>
        </w:tc>
      </w:tr>
      <w:tr w:rsidR="00611054" w:rsidTr="00BC5D64">
        <w:trPr>
          <w:cantSplit/>
          <w:trHeight w:val="5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t>資料蒐集費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上限30,000元，包含影印費、資料搜尋費等。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ind w:left="223" w:hanging="22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1. 以具有專門性且與計畫直接有關者為限。</w:t>
            </w:r>
          </w:p>
          <w:p w:rsidR="00611054" w:rsidRDefault="00611054" w:rsidP="00BC5D64">
            <w:pPr>
              <w:snapToGrid w:val="0"/>
              <w:spacing w:line="240" w:lineRule="atLeast"/>
              <w:ind w:left="223" w:hanging="22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2. 校內簽請核定後執行。</w:t>
            </w:r>
          </w:p>
          <w:p w:rsidR="00611054" w:rsidRDefault="00611054" w:rsidP="00BC5D64">
            <w:pPr>
              <w:snapToGrid w:val="0"/>
              <w:spacing w:line="240" w:lineRule="atLeast"/>
              <w:ind w:left="223" w:hanging="22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3. 檢附廠商發票核實報支。</w:t>
            </w:r>
          </w:p>
        </w:tc>
      </w:tr>
      <w:tr w:rsidR="00611054" w:rsidTr="00BC5D64">
        <w:trPr>
          <w:cantSplit/>
          <w:trHeight w:val="5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t>印刷費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核實編列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ind w:left="223" w:hanging="22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 xml:space="preserve">1. </w:t>
            </w:r>
            <w:proofErr w:type="gramStart"/>
            <w:r>
              <w:rPr>
                <w:rFonts w:ascii="華康仿宋體W6(P)" w:eastAsia="華康仿宋體W6(P)" w:hAnsi="華康仿宋體W6(P)" w:cs="Arial Unicode MS"/>
                <w:szCs w:val="28"/>
              </w:rPr>
              <w:t>必要時校內</w:t>
            </w:r>
            <w:proofErr w:type="gramEnd"/>
            <w:r>
              <w:rPr>
                <w:rFonts w:ascii="華康仿宋體W6(P)" w:eastAsia="華康仿宋體W6(P)" w:hAnsi="華康仿宋體W6(P)" w:cs="Arial Unicode MS"/>
                <w:szCs w:val="28"/>
              </w:rPr>
              <w:t>簽請核定後執行。</w:t>
            </w:r>
          </w:p>
          <w:p w:rsidR="00611054" w:rsidRDefault="00611054" w:rsidP="00BC5D64">
            <w:pPr>
              <w:snapToGrid w:val="0"/>
              <w:spacing w:line="240" w:lineRule="atLeast"/>
              <w:ind w:left="223" w:hanging="223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2. 檢附廠商發票核實報支。</w:t>
            </w:r>
          </w:p>
        </w:tc>
      </w:tr>
      <w:tr w:rsidR="00611054" w:rsidTr="00BC5D64">
        <w:trPr>
          <w:cantSplit/>
          <w:trHeight w:val="5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t>工作費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現行勞動基準法所訂每人每小時最低基本工資。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ind w:left="341" w:hanging="341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1. 補助單位核給相關費用，經校內簽呈核定後執行，核銷</w:t>
            </w:r>
            <w:proofErr w:type="gramStart"/>
            <w:r>
              <w:rPr>
                <w:rFonts w:ascii="華康仿宋體W6(P)" w:eastAsia="華康仿宋體W6(P)" w:hAnsi="華康仿宋體W6(P)" w:cs="Arial Unicode MS"/>
                <w:szCs w:val="28"/>
              </w:rPr>
              <w:t>時檢附時</w:t>
            </w:r>
            <w:proofErr w:type="gramEnd"/>
            <w:r>
              <w:rPr>
                <w:rFonts w:ascii="華康仿宋體W6(P)" w:eastAsia="華康仿宋體W6(P)" w:hAnsi="華康仿宋體W6(P)" w:cs="Arial Unicode MS"/>
                <w:szCs w:val="28"/>
              </w:rPr>
              <w:t>數考核表、</w:t>
            </w:r>
            <w:proofErr w:type="gramStart"/>
            <w:r>
              <w:rPr>
                <w:rFonts w:ascii="華康仿宋體W6(P)" w:eastAsia="華康仿宋體W6(P)" w:hAnsi="華康仿宋體W6(P)" w:cs="Arial Unicode MS"/>
                <w:szCs w:val="28"/>
              </w:rPr>
              <w:t>印領清冊</w:t>
            </w:r>
            <w:proofErr w:type="gramEnd"/>
            <w:r>
              <w:rPr>
                <w:rFonts w:ascii="華康仿宋體W6(P)" w:eastAsia="華康仿宋體W6(P)" w:hAnsi="華康仿宋體W6(P)" w:cs="Arial Unicode MS"/>
                <w:szCs w:val="28"/>
              </w:rPr>
              <w:t>。</w:t>
            </w:r>
          </w:p>
          <w:p w:rsidR="00611054" w:rsidRDefault="00611054" w:rsidP="00BC5D64">
            <w:pPr>
              <w:snapToGrid w:val="0"/>
              <w:spacing w:line="240" w:lineRule="atLeast"/>
              <w:ind w:left="341" w:hanging="341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2. 科技部計畫，依照「科技部補助專題研究計畫助理人員約用注意事項」之臨時工項目辦理。</w:t>
            </w:r>
          </w:p>
          <w:p w:rsidR="00611054" w:rsidRDefault="00611054" w:rsidP="00BC5D64">
            <w:pPr>
              <w:snapToGrid w:val="0"/>
              <w:spacing w:line="240" w:lineRule="atLeast"/>
              <w:ind w:left="341" w:hanging="341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3. 教育部計畫，臨時人員以辦理活動之參加人數1/10為編列上限，工作日期以會期加計前後1日為編列上限。</w:t>
            </w:r>
          </w:p>
          <w:p w:rsidR="00611054" w:rsidRDefault="00611054" w:rsidP="00BC5D64">
            <w:pPr>
              <w:snapToGrid w:val="0"/>
              <w:spacing w:line="240" w:lineRule="atLeast"/>
              <w:ind w:left="2"/>
              <w:jc w:val="both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4. 研究人員不得支領本項費用。</w:t>
            </w:r>
          </w:p>
        </w:tc>
      </w:tr>
      <w:tr w:rsidR="00611054" w:rsidTr="00BC5D64">
        <w:trPr>
          <w:cantSplit/>
          <w:trHeight w:val="5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lastRenderedPageBreak/>
              <w:t>研究設備費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在該項核定經費限額內核實列支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1. 經費核定清單、計劃書之採購設備項目。</w:t>
            </w:r>
          </w:p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2. 校內簽請核定後，依本校採購與管理規定辦理。</w:t>
            </w:r>
          </w:p>
        </w:tc>
      </w:tr>
      <w:tr w:rsidR="00611054" w:rsidTr="00BC5D64">
        <w:trPr>
          <w:cantSplit/>
          <w:trHeight w:val="52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t>設備使用及</w:t>
            </w:r>
          </w:p>
          <w:p w:rsidR="00611054" w:rsidRDefault="00611054" w:rsidP="00BC5D64">
            <w:pPr>
              <w:pStyle w:val="a3"/>
              <w:snapToGrid w:val="0"/>
              <w:spacing w:line="240" w:lineRule="atLeast"/>
              <w:jc w:val="center"/>
              <w:rPr>
                <w:rFonts w:ascii="華康仿宋體W6(P)" w:eastAsia="華康仿宋體W6(P)" w:hAnsi="華康仿宋體W6(P)" w:cs="Arial Unicode MS"/>
                <w:sz w:val="22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 w:val="22"/>
                <w:szCs w:val="28"/>
              </w:rPr>
              <w:t>維護費等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 w:cs="Arial Unicode MS"/>
                <w:szCs w:val="28"/>
              </w:rPr>
              <w:t>經補助單位核定後，依研究計畫設計需求編列。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>1. 依「中央各機關執行單位預算有關用途別科目應行注意事項」辦理。</w:t>
            </w:r>
          </w:p>
          <w:p w:rsidR="00611054" w:rsidRDefault="00611054" w:rsidP="00BC5D64">
            <w:pPr>
              <w:snapToGrid w:val="0"/>
              <w:spacing w:line="240" w:lineRule="atLeast"/>
              <w:rPr>
                <w:rFonts w:ascii="華康仿宋體W6(P)" w:eastAsia="華康仿宋體W6(P)" w:hAnsi="華康仿宋體W6(P)" w:cs="Arial Unicode MS"/>
                <w:szCs w:val="28"/>
              </w:rPr>
            </w:pPr>
            <w:r>
              <w:rPr>
                <w:rFonts w:ascii="華康仿宋體W6(P)" w:eastAsia="華康仿宋體W6(P)" w:hAnsi="華康仿宋體W6(P)"/>
                <w:szCs w:val="28"/>
              </w:rPr>
              <w:t xml:space="preserve">2. </w:t>
            </w:r>
            <w:r>
              <w:rPr>
                <w:rFonts w:ascii="華康仿宋體W6(P)" w:eastAsia="華康仿宋體W6(P)" w:hAnsi="華康仿宋體W6(P)" w:cs="Arial Unicode MS"/>
                <w:szCs w:val="28"/>
              </w:rPr>
              <w:t>校內簽請核定</w:t>
            </w:r>
            <w:r>
              <w:rPr>
                <w:rFonts w:ascii="華康仿宋體W6(P)" w:eastAsia="華康仿宋體W6(P)" w:hAnsi="華康仿宋體W6(P)"/>
                <w:szCs w:val="28"/>
              </w:rPr>
              <w:t>後</w:t>
            </w:r>
            <w:r>
              <w:rPr>
                <w:rFonts w:ascii="華康仿宋體W6(P)" w:eastAsia="華康仿宋體W6(P)" w:hAnsi="華康仿宋體W6(P)" w:cs="Arial Unicode MS"/>
                <w:szCs w:val="28"/>
              </w:rPr>
              <w:t>執行。</w:t>
            </w:r>
          </w:p>
        </w:tc>
      </w:tr>
    </w:tbl>
    <w:p w:rsidR="00611054" w:rsidRDefault="00611054" w:rsidP="00611054">
      <w:pPr>
        <w:ind w:hanging="490"/>
        <w:rPr>
          <w:rFonts w:ascii="華康仿宋體W6(P)" w:eastAsia="華康仿宋體W6(P)" w:hAnsi="華康仿宋體W6(P)"/>
        </w:rPr>
      </w:pP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備註：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1. 本支用標準適用本校接受</w:t>
      </w:r>
      <w:proofErr w:type="gramStart"/>
      <w:r>
        <w:rPr>
          <w:rFonts w:ascii="華康仿宋體W6(P)" w:eastAsia="華康仿宋體W6(P)" w:hAnsi="華康仿宋體W6(P)"/>
        </w:rPr>
        <w:t>外部(</w:t>
      </w:r>
      <w:proofErr w:type="gramEnd"/>
      <w:r>
        <w:rPr>
          <w:rFonts w:ascii="華康仿宋體W6(P)" w:eastAsia="華康仿宋體W6(P)" w:hAnsi="華康仿宋體W6(P)"/>
        </w:rPr>
        <w:t>含科技部、教育部、產學合作等)補助計畫經費案。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2. 以上為校內經費編列參考，實際支用依補助單位之核定清單與支用基準相關規定辦理。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3. 以上所有經費項目皆由計畫助理辦理相關行政作業。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編列標準參考資料來源：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1. 行政院所屬各機關行政及政策類委託研究計畫經費編列原則及基準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2. 行政院各機關統計調查人員調查費用列支要點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3. 科技部補助專題研究計畫經費處理原則.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4. 教育部委託研究計畫經費編列標準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5. 教育部補助及委辦計畫經費編列基準表</w:t>
      </w:r>
    </w:p>
    <w:p w:rsidR="00611054" w:rsidRDefault="00611054" w:rsidP="00611054">
      <w:pPr>
        <w:snapToGrid w:val="0"/>
        <w:ind w:firstLine="142"/>
        <w:rPr>
          <w:rFonts w:ascii="華康仿宋體W6(P)" w:eastAsia="華康仿宋體W6(P)" w:hAnsi="華康仿宋體W6(P)"/>
        </w:rPr>
      </w:pPr>
      <w:r>
        <w:rPr>
          <w:rFonts w:ascii="華康仿宋體W6(P)" w:eastAsia="華康仿宋體W6(P)" w:hAnsi="華康仿宋體W6(P)"/>
        </w:rPr>
        <w:t>6. 科技部補助專題研究計畫助理人員約用注意事項</w:t>
      </w:r>
    </w:p>
    <w:p w:rsidR="00611054" w:rsidRDefault="00611054" w:rsidP="00611054">
      <w:pPr>
        <w:widowControl/>
        <w:snapToGrid w:val="0"/>
        <w:spacing w:line="360" w:lineRule="atLeast"/>
        <w:ind w:right="610"/>
        <w:jc w:val="both"/>
        <w:rPr>
          <w:rFonts w:ascii="華康仿宋體W6(P)" w:eastAsia="華康仿宋體W6(P)" w:hAnsi="華康仿宋體W6(P)" w:cs="Times New Roman"/>
          <w:szCs w:val="24"/>
        </w:rPr>
      </w:pPr>
      <w:r>
        <w:br w:type="page"/>
      </w:r>
    </w:p>
    <w:p w:rsidR="0067776B" w:rsidRPr="00611054" w:rsidRDefault="0067776B"/>
    <w:sectPr w:rsidR="0067776B" w:rsidRPr="00611054" w:rsidSect="0061105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 Unicode">
    <w:altName w:val="Times New Roman"/>
    <w:charset w:val="01"/>
    <w:family w:val="roman"/>
    <w:pitch w:val="variable"/>
  </w:font>
  <w:font w:name="華康中明體(P)">
    <w:altName w:val="新細明體"/>
    <w:panose1 w:val="00000000000000000000"/>
    <w:charset w:val="88"/>
    <w:family w:val="roman"/>
    <w:notTrueType/>
    <w:pitch w:val="default"/>
  </w:font>
  <w:font w:name="CN-Times">
    <w:altName w:val="Times New Roman"/>
    <w:panose1 w:val="00000000000000000000"/>
    <w:charset w:val="00"/>
    <w:family w:val="roman"/>
    <w:notTrueType/>
    <w:pitch w:val="default"/>
  </w:font>
  <w:font w:name="華康仿宋體W6(P)">
    <w:altName w:val="Times New Roman"/>
    <w:charset w:val="01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54"/>
    <w:rsid w:val="00611054"/>
    <w:rsid w:val="0067776B"/>
    <w:rsid w:val="006E1893"/>
    <w:rsid w:val="00A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napToGrid w:val="0"/>
      <w:spacing w:line="288" w:lineRule="auto"/>
      <w:outlineLvl w:val="3"/>
    </w:pPr>
    <w:rPr>
      <w:rFonts w:asciiTheme="majorHAnsi" w:eastAsia="標楷體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  <w:style w:type="character" w:customStyle="1" w:styleId="5">
    <w:name w:val="註解文字 字元5"/>
    <w:link w:val="a3"/>
    <w:qFormat/>
    <w:rsid w:val="00611054"/>
    <w:rPr>
      <w:rFonts w:ascii="Cambria" w:hAnsi="Cambria" w:cs="Times New Roman"/>
      <w:b/>
      <w:bCs/>
      <w:sz w:val="32"/>
      <w:szCs w:val="32"/>
    </w:rPr>
  </w:style>
  <w:style w:type="paragraph" w:styleId="Web">
    <w:name w:val="Normal (Web)"/>
    <w:basedOn w:val="a"/>
    <w:uiPriority w:val="99"/>
    <w:qFormat/>
    <w:rsid w:val="00611054"/>
    <w:pPr>
      <w:widowControl/>
      <w:suppressAutoHyphens/>
      <w:spacing w:before="280" w:after="280"/>
    </w:pPr>
    <w:rPr>
      <w:rFonts w:ascii="新細明體" w:hAnsi="新細明體" w:cs="新細明體"/>
      <w:szCs w:val="24"/>
    </w:rPr>
  </w:style>
  <w:style w:type="paragraph" w:styleId="a3">
    <w:name w:val="annotation text"/>
    <w:basedOn w:val="a"/>
    <w:link w:val="5"/>
    <w:unhideWhenUsed/>
    <w:qFormat/>
    <w:rsid w:val="00611054"/>
    <w:pPr>
      <w:suppressAutoHyphens/>
    </w:pPr>
    <w:rPr>
      <w:rFonts w:ascii="Cambria" w:hAnsi="Cambria" w:cs="Times New Roman"/>
      <w:b/>
      <w:bCs/>
      <w:sz w:val="32"/>
      <w:szCs w:val="32"/>
    </w:rPr>
  </w:style>
  <w:style w:type="character" w:customStyle="1" w:styleId="a4">
    <w:name w:val="註解文字 字元"/>
    <w:basedOn w:val="a0"/>
    <w:uiPriority w:val="99"/>
    <w:semiHidden/>
    <w:rsid w:val="00611054"/>
  </w:style>
  <w:style w:type="paragraph" w:customStyle="1" w:styleId="p">
    <w:name w:val="p作者"/>
    <w:basedOn w:val="a"/>
    <w:qFormat/>
    <w:rsid w:val="00611054"/>
    <w:pPr>
      <w:widowControl/>
      <w:suppressAutoHyphens/>
      <w:spacing w:before="100" w:line="400" w:lineRule="exact"/>
      <w:jc w:val="center"/>
    </w:pPr>
    <w:rPr>
      <w:rFonts w:ascii="Garam Unicode" w:eastAsia="華康中明體(P)" w:hAnsi="Garam Unicode" w:cs="CN-Time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napToGrid w:val="0"/>
      <w:spacing w:line="288" w:lineRule="auto"/>
      <w:outlineLvl w:val="3"/>
    </w:pPr>
    <w:rPr>
      <w:rFonts w:asciiTheme="majorHAnsi" w:eastAsia="標楷體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  <w:style w:type="character" w:customStyle="1" w:styleId="5">
    <w:name w:val="註解文字 字元5"/>
    <w:link w:val="a3"/>
    <w:qFormat/>
    <w:rsid w:val="00611054"/>
    <w:rPr>
      <w:rFonts w:ascii="Cambria" w:hAnsi="Cambria" w:cs="Times New Roman"/>
      <w:b/>
      <w:bCs/>
      <w:sz w:val="32"/>
      <w:szCs w:val="32"/>
    </w:rPr>
  </w:style>
  <w:style w:type="paragraph" w:styleId="Web">
    <w:name w:val="Normal (Web)"/>
    <w:basedOn w:val="a"/>
    <w:uiPriority w:val="99"/>
    <w:qFormat/>
    <w:rsid w:val="00611054"/>
    <w:pPr>
      <w:widowControl/>
      <w:suppressAutoHyphens/>
      <w:spacing w:before="280" w:after="280"/>
    </w:pPr>
    <w:rPr>
      <w:rFonts w:ascii="新細明體" w:hAnsi="新細明體" w:cs="新細明體"/>
      <w:szCs w:val="24"/>
    </w:rPr>
  </w:style>
  <w:style w:type="paragraph" w:styleId="a3">
    <w:name w:val="annotation text"/>
    <w:basedOn w:val="a"/>
    <w:link w:val="5"/>
    <w:unhideWhenUsed/>
    <w:qFormat/>
    <w:rsid w:val="00611054"/>
    <w:pPr>
      <w:suppressAutoHyphens/>
    </w:pPr>
    <w:rPr>
      <w:rFonts w:ascii="Cambria" w:hAnsi="Cambria" w:cs="Times New Roman"/>
      <w:b/>
      <w:bCs/>
      <w:sz w:val="32"/>
      <w:szCs w:val="32"/>
    </w:rPr>
  </w:style>
  <w:style w:type="character" w:customStyle="1" w:styleId="a4">
    <w:name w:val="註解文字 字元"/>
    <w:basedOn w:val="a0"/>
    <w:uiPriority w:val="99"/>
    <w:semiHidden/>
    <w:rsid w:val="00611054"/>
  </w:style>
  <w:style w:type="paragraph" w:customStyle="1" w:styleId="p">
    <w:name w:val="p作者"/>
    <w:basedOn w:val="a"/>
    <w:qFormat/>
    <w:rsid w:val="00611054"/>
    <w:pPr>
      <w:widowControl/>
      <w:suppressAutoHyphens/>
      <w:spacing w:before="100" w:line="400" w:lineRule="exact"/>
      <w:jc w:val="center"/>
    </w:pPr>
    <w:rPr>
      <w:rFonts w:ascii="Garam Unicode" w:eastAsia="華康中明體(P)" w:hAnsi="Garam Unicode" w:cs="CN-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2020-04-08T08:26:00Z</dcterms:created>
  <dcterms:modified xsi:type="dcterms:W3CDTF">2020-04-08T08:27:00Z</dcterms:modified>
</cp:coreProperties>
</file>