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BEF" w:rsidRDefault="006E4BEF" w:rsidP="006E4BEF">
      <w:pPr>
        <w:widowControl/>
        <w:jc w:val="center"/>
        <w:rPr>
          <w:rFonts w:ascii="華康仿宋體W6(P)" w:eastAsia="華康仿宋體W6(P)" w:hAnsi="標楷體" w:cs="新細明體"/>
          <w:b/>
          <w:kern w:val="0"/>
          <w:sz w:val="28"/>
          <w:szCs w:val="28"/>
        </w:rPr>
      </w:pPr>
      <w:bookmarkStart w:id="0" w:name="_GoBack"/>
      <w:r>
        <w:rPr>
          <w:rFonts w:ascii="華康仿宋體W6(P)" w:eastAsia="華康仿宋體W6(P)" w:hAnsi="標楷體" w:cs="新細明體" w:hint="eastAsia"/>
          <w:b/>
          <w:kern w:val="0"/>
          <w:sz w:val="28"/>
          <w:szCs w:val="28"/>
        </w:rPr>
        <w:t>法鼓文理學院學術倫理案件處</w:t>
      </w:r>
      <w:r>
        <w:rPr>
          <w:rFonts w:ascii="華康仿宋體W6(P)" w:eastAsia="華康仿宋體W6(P)" w:hAnsi="新細明體" w:cs="新細明體" w:hint="eastAsia"/>
          <w:b/>
          <w:kern w:val="0"/>
          <w:sz w:val="28"/>
          <w:szCs w:val="28"/>
        </w:rPr>
        <w:t>理</w:t>
      </w:r>
      <w:r>
        <w:rPr>
          <w:rFonts w:ascii="華康仿宋體W6(P)" w:eastAsia="華康仿宋體W6(P)" w:hAnsi="華康仿宋體W6(P)" w:cs="華康仿宋體W6(P)" w:hint="eastAsia"/>
          <w:b/>
          <w:kern w:val="0"/>
          <w:sz w:val="28"/>
          <w:szCs w:val="28"/>
        </w:rPr>
        <w:t>及審議要點</w:t>
      </w:r>
    </w:p>
    <w:bookmarkEnd w:id="0"/>
    <w:p w:rsidR="006E4BEF" w:rsidRDefault="006E4BEF" w:rsidP="006E4BEF">
      <w:pPr>
        <w:widowControl/>
        <w:snapToGrid w:val="0"/>
        <w:spacing w:beforeLines="50" w:before="180"/>
        <w:jc w:val="right"/>
        <w:rPr>
          <w:rFonts w:ascii="華康仿宋體W6(P)" w:eastAsia="華康仿宋體W6(P)" w:hAnsi="標楷體" w:hint="eastAsia"/>
          <w:color w:val="000000"/>
          <w:sz w:val="22"/>
          <w:szCs w:val="28"/>
        </w:rPr>
      </w:pPr>
      <w:r>
        <w:rPr>
          <w:rFonts w:ascii="華康仿宋體W6(P)" w:eastAsia="華康仿宋體W6(P)" w:hAnsi="標楷體" w:hint="eastAsia"/>
          <w:color w:val="000000"/>
          <w:sz w:val="22"/>
          <w:szCs w:val="28"/>
        </w:rPr>
        <w:t>中華民國106年4月12日105學年度第4次教研會議通過</w:t>
      </w:r>
      <w:r>
        <w:rPr>
          <w:rFonts w:ascii="華康仿宋體W6(P)" w:eastAsia="華康仿宋體W6(P)" w:hAnsi="標楷體"/>
          <w:color w:val="000000"/>
          <w:sz w:val="22"/>
          <w:szCs w:val="28"/>
        </w:rPr>
        <w:br/>
      </w:r>
      <w:r>
        <w:rPr>
          <w:rFonts w:ascii="華康仿宋體W6(P)" w:eastAsia="華康仿宋體W6(P)" w:hAnsi="標楷體" w:hint="eastAsia"/>
          <w:color w:val="000000"/>
          <w:sz w:val="22"/>
          <w:szCs w:val="28"/>
        </w:rPr>
        <w:t>中華民國106年4月</w:t>
      </w:r>
      <w:r>
        <w:rPr>
          <w:rFonts w:ascii="華康仿宋體W6(P)" w:eastAsia="華康仿宋體W6(P)" w:hAnsi="標楷體" w:hint="eastAsia"/>
          <w:color w:val="000000"/>
          <w:sz w:val="22"/>
          <w:szCs w:val="28"/>
        </w:rPr>
        <w:t>26</w:t>
      </w:r>
      <w:r>
        <w:rPr>
          <w:rFonts w:ascii="華康仿宋體W6(P)" w:eastAsia="華康仿宋體W6(P)" w:hAnsi="標楷體" w:hint="eastAsia"/>
          <w:color w:val="000000"/>
          <w:sz w:val="22"/>
          <w:szCs w:val="28"/>
        </w:rPr>
        <w:t>日105學年度第4次</w:t>
      </w:r>
      <w:r>
        <w:rPr>
          <w:rFonts w:ascii="華康仿宋體W6(P)" w:eastAsia="華康仿宋體W6(P)" w:hAnsi="標楷體" w:hint="eastAsia"/>
          <w:color w:val="000000"/>
          <w:sz w:val="22"/>
          <w:szCs w:val="28"/>
        </w:rPr>
        <w:t>校務</w:t>
      </w:r>
      <w:r>
        <w:rPr>
          <w:rFonts w:ascii="華康仿宋體W6(P)" w:eastAsia="華康仿宋體W6(P)" w:hAnsi="標楷體" w:hint="eastAsia"/>
          <w:color w:val="000000"/>
          <w:sz w:val="22"/>
          <w:szCs w:val="28"/>
        </w:rPr>
        <w:t>會議通過</w:t>
      </w:r>
    </w:p>
    <w:p w:rsidR="006E4BEF" w:rsidRPr="006E4BEF" w:rsidRDefault="006E4BEF" w:rsidP="006E4BEF">
      <w:pPr>
        <w:widowControl/>
        <w:snapToGrid w:val="0"/>
        <w:spacing w:beforeLines="50" w:before="180"/>
        <w:jc w:val="right"/>
        <w:rPr>
          <w:rFonts w:ascii="華康仿宋體W6(P)" w:eastAsia="華康仿宋體W6(P)" w:hAnsi="標楷體" w:cs="新細明體" w:hint="eastAsia"/>
          <w:b/>
          <w:kern w:val="0"/>
          <w:sz w:val="32"/>
        </w:rPr>
      </w:pPr>
    </w:p>
    <w:p w:rsidR="006E4BEF" w:rsidRDefault="006E4BEF" w:rsidP="006E4BEF">
      <w:pPr>
        <w:widowControl/>
        <w:snapToGrid w:val="0"/>
        <w:spacing w:line="360" w:lineRule="atLeast"/>
        <w:ind w:left="475" w:hangingChars="198" w:hanging="475"/>
        <w:rPr>
          <w:rFonts w:ascii="華康仿宋體W6(P)" w:eastAsia="華康仿宋體W6(P)" w:hAnsi="標楷體" w:cs="新細明體" w:hint="eastAsia"/>
          <w:kern w:val="0"/>
        </w:rPr>
      </w:pPr>
      <w:r>
        <w:rPr>
          <w:rFonts w:ascii="華康仿宋體W6(P)" w:eastAsia="華康仿宋體W6(P)" w:hAnsi="標楷體" w:cs="新細明體" w:hint="eastAsia"/>
          <w:kern w:val="0"/>
        </w:rPr>
        <w:t>一、法鼓文理學院為處</w:t>
      </w:r>
      <w:r>
        <w:rPr>
          <w:rFonts w:ascii="華康仿宋體W6(P)" w:eastAsia="華康仿宋體W6(P)" w:hAnsi="新細明體" w:cs="新細明體" w:hint="eastAsia"/>
          <w:kern w:val="0"/>
        </w:rPr>
        <w:t>理</w:t>
      </w:r>
      <w:r>
        <w:rPr>
          <w:rFonts w:ascii="華康仿宋體W6(P)" w:eastAsia="華康仿宋體W6(P)" w:hAnsi="華康仿宋體W6(P)" w:cs="華康仿宋體W6(P)" w:hint="eastAsia"/>
          <w:kern w:val="0"/>
        </w:rPr>
        <w:t>本校教師及研究人員之學術倫理案件，特訂定「法鼓文理學院學術</w:t>
      </w:r>
      <w:r>
        <w:rPr>
          <w:rFonts w:ascii="華康仿宋體W6(P)" w:eastAsia="華康仿宋體W6(P)" w:hAnsi="標楷體" w:cs="新細明體" w:hint="eastAsia"/>
          <w:kern w:val="0"/>
        </w:rPr>
        <w:t>倫理案件處</w:t>
      </w:r>
      <w:r>
        <w:rPr>
          <w:rFonts w:ascii="華康仿宋體W6(P)" w:eastAsia="華康仿宋體W6(P)" w:hAnsi="新細明體" w:cs="新細明體" w:hint="eastAsia"/>
          <w:kern w:val="0"/>
        </w:rPr>
        <w:t>理</w:t>
      </w:r>
      <w:r>
        <w:rPr>
          <w:rFonts w:ascii="華康仿宋體W6(P)" w:eastAsia="華康仿宋體W6(P)" w:hAnsi="華康仿宋體W6(P)" w:cs="華康仿宋體W6(P)" w:hint="eastAsia"/>
          <w:kern w:val="0"/>
        </w:rPr>
        <w:t>及審議要點」</w:t>
      </w:r>
      <w:r>
        <w:rPr>
          <w:rFonts w:ascii="華康仿宋體W6(P)" w:eastAsia="華康仿宋體W6(P)" w:hAnsi="標楷體" w:cs="新細明體" w:hint="eastAsia"/>
          <w:kern w:val="0"/>
        </w:rPr>
        <w:t>(以下簡稱本要點)」。</w:t>
      </w:r>
    </w:p>
    <w:p w:rsidR="006E4BEF" w:rsidRDefault="006E4BEF" w:rsidP="006E4BEF">
      <w:pPr>
        <w:widowControl/>
        <w:snapToGrid w:val="0"/>
        <w:spacing w:line="360" w:lineRule="atLeast"/>
        <w:ind w:left="475" w:hangingChars="198" w:hanging="475"/>
        <w:rPr>
          <w:rFonts w:ascii="華康仿宋體W6(P)" w:eastAsia="華康仿宋體W6(P)" w:hAnsi="標楷體" w:cs="新細明體" w:hint="eastAsia"/>
          <w:kern w:val="0"/>
        </w:rPr>
      </w:pPr>
      <w:r>
        <w:rPr>
          <w:rFonts w:ascii="華康仿宋體W6(P)" w:eastAsia="華康仿宋體W6(P)" w:hAnsi="標楷體" w:cs="新細明體" w:hint="eastAsia"/>
          <w:kern w:val="0"/>
        </w:rPr>
        <w:t>二、有關升等、學術獎</w:t>
      </w:r>
      <w:r>
        <w:rPr>
          <w:rFonts w:ascii="華康仿宋體W6(P)" w:eastAsia="華康仿宋體W6(P)" w:hAnsi="新細明體" w:cs="新細明體" w:hint="eastAsia"/>
          <w:kern w:val="0"/>
        </w:rPr>
        <w:t>勵</w:t>
      </w:r>
      <w:r>
        <w:rPr>
          <w:rFonts w:ascii="華康仿宋體W6(P)" w:eastAsia="華康仿宋體W6(P)" w:hAnsi="華康仿宋體W6(P)" w:cs="華康仿宋體W6(P)" w:hint="eastAsia"/>
          <w:kern w:val="0"/>
        </w:rPr>
        <w:t>、專題研究計畫或於其他相關教學與研究工作，</w:t>
      </w:r>
      <w:proofErr w:type="gramStart"/>
      <w:r>
        <w:rPr>
          <w:rFonts w:ascii="華康仿宋體W6(P)" w:eastAsia="華康仿宋體W6(P)" w:hAnsi="華康仿宋體W6(P)" w:cs="華康仿宋體W6(P)" w:hint="eastAsia"/>
          <w:kern w:val="0"/>
        </w:rPr>
        <w:t>疑</w:t>
      </w:r>
      <w:proofErr w:type="gramEnd"/>
      <w:r>
        <w:rPr>
          <w:rFonts w:ascii="華康仿宋體W6(P)" w:eastAsia="華康仿宋體W6(P)" w:hAnsi="華康仿宋體W6(P)" w:cs="華康仿宋體W6(P)" w:hint="eastAsia"/>
          <w:kern w:val="0"/>
        </w:rPr>
        <w:t>有違反學術</w:t>
      </w:r>
      <w:r>
        <w:rPr>
          <w:rFonts w:ascii="華康仿宋體W6(P)" w:eastAsia="華康仿宋體W6(P)" w:hAnsi="標楷體" w:cs="新細明體" w:hint="eastAsia"/>
          <w:kern w:val="0"/>
        </w:rPr>
        <w:t>倫理為者，適用本要點處</w:t>
      </w:r>
      <w:r>
        <w:rPr>
          <w:rFonts w:ascii="華康仿宋體W6(P)" w:eastAsia="華康仿宋體W6(P)" w:hAnsi="新細明體" w:cs="新細明體" w:hint="eastAsia"/>
          <w:kern w:val="0"/>
        </w:rPr>
        <w:t>理</w:t>
      </w:r>
      <w:r>
        <w:rPr>
          <w:rFonts w:ascii="華康仿宋體W6(P)" w:eastAsia="華康仿宋體W6(P)" w:hAnsi="華康仿宋體W6(P)" w:cs="華康仿宋體W6(P)" w:hint="eastAsia"/>
          <w:kern w:val="0"/>
        </w:rPr>
        <w:t>。違反學術</w:t>
      </w:r>
      <w:r>
        <w:rPr>
          <w:rFonts w:ascii="華康仿宋體W6(P)" w:eastAsia="華康仿宋體W6(P)" w:hAnsi="標楷體" w:cs="新細明體" w:hint="eastAsia"/>
          <w:kern w:val="0"/>
        </w:rPr>
        <w:t>倫理</w:t>
      </w:r>
      <w:r>
        <w:rPr>
          <w:rFonts w:ascii="華康仿宋體W6(P)" w:eastAsia="華康仿宋體W6(P)" w:hAnsi="新細明體" w:cs="新細明體" w:hint="eastAsia"/>
          <w:kern w:val="0"/>
        </w:rPr>
        <w:t>行</w:t>
      </w:r>
      <w:r>
        <w:rPr>
          <w:rFonts w:ascii="華康仿宋體W6(P)" w:eastAsia="華康仿宋體W6(P)" w:hAnsi="華康仿宋體W6(P)" w:cs="華康仿宋體W6(P)" w:hint="eastAsia"/>
          <w:kern w:val="0"/>
        </w:rPr>
        <w:t>為，</w:t>
      </w:r>
      <w:proofErr w:type="gramStart"/>
      <w:r>
        <w:rPr>
          <w:rFonts w:ascii="華康仿宋體W6(P)" w:eastAsia="華康仿宋體W6(P)" w:hAnsi="華康仿宋體W6(P)" w:cs="華康仿宋體W6(P)" w:hint="eastAsia"/>
          <w:kern w:val="0"/>
        </w:rPr>
        <w:t>指校內</w:t>
      </w:r>
      <w:proofErr w:type="gramEnd"/>
      <w:r>
        <w:rPr>
          <w:rFonts w:ascii="華康仿宋體W6(P)" w:eastAsia="華康仿宋體W6(P)" w:hAnsi="華康仿宋體W6(P)" w:cs="華康仿宋體W6(P)" w:hint="eastAsia"/>
          <w:kern w:val="0"/>
        </w:rPr>
        <w:t>教師或研究人員有下</w:t>
      </w:r>
      <w:r>
        <w:rPr>
          <w:rFonts w:ascii="華康仿宋體W6(P)" w:eastAsia="華康仿宋體W6(P)" w:hAnsi="新細明體" w:cs="新細明體" w:hint="eastAsia"/>
          <w:kern w:val="0"/>
        </w:rPr>
        <w:t>列</w:t>
      </w:r>
      <w:r>
        <w:rPr>
          <w:rFonts w:ascii="華康仿宋體W6(P)" w:eastAsia="華康仿宋體W6(P)" w:hAnsi="華康仿宋體W6(P)" w:cs="華康仿宋體W6(P)" w:hint="eastAsia"/>
          <w:kern w:val="0"/>
        </w:rPr>
        <w:t>情形之</w:t>
      </w:r>
      <w:proofErr w:type="gramStart"/>
      <w:r>
        <w:rPr>
          <w:rFonts w:ascii="華康仿宋體W6(P)" w:eastAsia="華康仿宋體W6(P)" w:hAnsi="華康仿宋體W6(P)" w:cs="華康仿宋體W6(P)" w:hint="eastAsia"/>
          <w:kern w:val="0"/>
        </w:rPr>
        <w:t>一</w:t>
      </w:r>
      <w:proofErr w:type="gramEnd"/>
      <w:r>
        <w:rPr>
          <w:rFonts w:ascii="華康仿宋體W6(P)" w:eastAsia="華康仿宋體W6(P)" w:hAnsi="華康仿宋體W6(P)" w:cs="華康仿宋體W6(P)" w:hint="eastAsia"/>
          <w:kern w:val="0"/>
        </w:rPr>
        <w:t>者：</w:t>
      </w:r>
    </w:p>
    <w:p w:rsidR="006E4BEF" w:rsidRDefault="006E4BEF" w:rsidP="006E4BEF">
      <w:pPr>
        <w:widowControl/>
        <w:snapToGrid w:val="0"/>
        <w:spacing w:line="360" w:lineRule="atLeast"/>
        <w:ind w:left="475" w:hangingChars="198" w:hanging="475"/>
        <w:rPr>
          <w:rFonts w:ascii="華康仿宋體W6(P)" w:eastAsia="華康仿宋體W6(P)" w:hAnsi="標楷體" w:cs="新細明體" w:hint="eastAsia"/>
          <w:kern w:val="0"/>
        </w:rPr>
      </w:pPr>
      <w:r>
        <w:rPr>
          <w:rFonts w:ascii="華康仿宋體W6(P)" w:eastAsia="華康仿宋體W6(P)" w:hAnsi="標楷體" w:cs="新細明體" w:hint="eastAsia"/>
          <w:kern w:val="0"/>
        </w:rPr>
        <w:t>（一）造假：指虛構</w:t>
      </w:r>
      <w:r>
        <w:rPr>
          <w:rFonts w:ascii="華康仿宋體W6(P)" w:eastAsia="華康仿宋體W6(P)" w:hAnsi="新細明體" w:cs="新細明體" w:hint="eastAsia"/>
          <w:kern w:val="0"/>
        </w:rPr>
        <w:t>不</w:t>
      </w:r>
      <w:r>
        <w:rPr>
          <w:rFonts w:ascii="華康仿宋體W6(P)" w:eastAsia="華康仿宋體W6(P)" w:hAnsi="華康仿宋體W6(P)" w:cs="華康仿宋體W6(P)" w:hint="eastAsia"/>
          <w:kern w:val="0"/>
        </w:rPr>
        <w:t>存在之申請資</w:t>
      </w:r>
      <w:r>
        <w:rPr>
          <w:rFonts w:ascii="華康仿宋體W6(P)" w:eastAsia="華康仿宋體W6(P)" w:hAnsi="標楷體" w:cs="新細明體" w:hint="eastAsia"/>
          <w:kern w:val="0"/>
        </w:rPr>
        <w:t>料、研究資料或研究成果。</w:t>
      </w:r>
    </w:p>
    <w:p w:rsidR="006E4BEF" w:rsidRDefault="006E4BEF" w:rsidP="006E4BEF">
      <w:pPr>
        <w:widowControl/>
        <w:snapToGrid w:val="0"/>
        <w:spacing w:line="360" w:lineRule="atLeast"/>
        <w:rPr>
          <w:rFonts w:ascii="華康仿宋體W6(P)" w:eastAsia="華康仿宋體W6(P)" w:hAnsi="標楷體" w:cs="新細明體" w:hint="eastAsia"/>
          <w:kern w:val="0"/>
        </w:rPr>
      </w:pPr>
      <w:r>
        <w:rPr>
          <w:rFonts w:ascii="華康仿宋體W6(P)" w:eastAsia="華康仿宋體W6(P)" w:hAnsi="標楷體" w:cs="新細明體" w:hint="eastAsia"/>
          <w:kern w:val="0"/>
        </w:rPr>
        <w:t>（二）變造：指</w:t>
      </w:r>
      <w:r>
        <w:rPr>
          <w:rFonts w:ascii="華康仿宋體W6(P)" w:eastAsia="華康仿宋體W6(P)" w:hAnsi="新細明體" w:cs="新細明體" w:hint="eastAsia"/>
          <w:kern w:val="0"/>
        </w:rPr>
        <w:t>不</w:t>
      </w:r>
      <w:r>
        <w:rPr>
          <w:rFonts w:ascii="華康仿宋體W6(P)" w:eastAsia="華康仿宋體W6(P)" w:hAnsi="華康仿宋體W6(P)" w:cs="華康仿宋體W6(P)" w:hint="eastAsia"/>
          <w:kern w:val="0"/>
        </w:rPr>
        <w:t>實變</w:t>
      </w:r>
      <w:r>
        <w:rPr>
          <w:rFonts w:ascii="華康仿宋體W6(P)" w:eastAsia="華康仿宋體W6(P)" w:hAnsi="新細明體" w:cs="新細明體" w:hint="eastAsia"/>
          <w:kern w:val="0"/>
        </w:rPr>
        <w:t>更</w:t>
      </w:r>
      <w:r>
        <w:rPr>
          <w:rFonts w:ascii="華康仿宋體W6(P)" w:eastAsia="華康仿宋體W6(P)" w:hAnsi="華康仿宋體W6(P)" w:cs="華康仿宋體W6(P)" w:hint="eastAsia"/>
          <w:kern w:val="0"/>
        </w:rPr>
        <w:t>申請資</w:t>
      </w:r>
      <w:r>
        <w:rPr>
          <w:rFonts w:ascii="華康仿宋體W6(P)" w:eastAsia="華康仿宋體W6(P)" w:hAnsi="標楷體" w:cs="新細明體" w:hint="eastAsia"/>
          <w:kern w:val="0"/>
        </w:rPr>
        <w:t>料、研究資料或研究成果。</w:t>
      </w:r>
    </w:p>
    <w:p w:rsidR="006E4BEF" w:rsidRDefault="006E4BEF" w:rsidP="006E4BEF">
      <w:pPr>
        <w:widowControl/>
        <w:snapToGrid w:val="0"/>
        <w:spacing w:line="360" w:lineRule="atLeast"/>
        <w:ind w:left="742" w:hangingChars="309" w:hanging="742"/>
        <w:rPr>
          <w:rFonts w:ascii="華康仿宋體W6(P)" w:eastAsia="華康仿宋體W6(P)" w:hAnsi="標楷體" w:cs="新細明體" w:hint="eastAsia"/>
          <w:kern w:val="0"/>
        </w:rPr>
      </w:pPr>
      <w:r>
        <w:rPr>
          <w:rFonts w:ascii="華康仿宋體W6(P)" w:eastAsia="華康仿宋體W6(P)" w:hAnsi="標楷體" w:cs="新細明體" w:hint="eastAsia"/>
          <w:kern w:val="0"/>
        </w:rPr>
        <w:t>（三）抄襲：指援用他人之申請資料、研究資料或研究成果未註明出處。註明出處</w:t>
      </w:r>
      <w:r>
        <w:rPr>
          <w:rFonts w:ascii="華康仿宋體W6(P)" w:eastAsia="華康仿宋體W6(P)" w:hAnsi="新細明體" w:cs="新細明體" w:hint="eastAsia"/>
          <w:kern w:val="0"/>
        </w:rPr>
        <w:t>不</w:t>
      </w:r>
      <w:r>
        <w:rPr>
          <w:rFonts w:ascii="華康仿宋體W6(P)" w:eastAsia="華康仿宋體W6(P)" w:hAnsi="華康仿宋體W6(P)" w:cs="華康仿宋體W6(P)" w:hint="eastAsia"/>
          <w:kern w:val="0"/>
        </w:rPr>
        <w:t>當情節重大者，以抄襲</w:t>
      </w:r>
      <w:r>
        <w:rPr>
          <w:rFonts w:ascii="華康仿宋體W6(P)" w:eastAsia="華康仿宋體W6(P)" w:hAnsi="標楷體" w:cs="新細明體" w:hint="eastAsia"/>
          <w:kern w:val="0"/>
        </w:rPr>
        <w:t>論。</w:t>
      </w:r>
    </w:p>
    <w:p w:rsidR="006E4BEF" w:rsidRDefault="006E4BEF" w:rsidP="006E4BEF">
      <w:pPr>
        <w:widowControl/>
        <w:snapToGrid w:val="0"/>
        <w:spacing w:line="360" w:lineRule="atLeast"/>
        <w:rPr>
          <w:rFonts w:ascii="華康仿宋體W6(P)" w:eastAsia="華康仿宋體W6(P)" w:hAnsi="標楷體" w:cs="新細明體" w:hint="eastAsia"/>
          <w:kern w:val="0"/>
        </w:rPr>
      </w:pPr>
      <w:r>
        <w:rPr>
          <w:rFonts w:ascii="華康仿宋體W6(P)" w:eastAsia="華康仿宋體W6(P)" w:hAnsi="標楷體" w:cs="新細明體" w:hint="eastAsia"/>
          <w:kern w:val="0"/>
        </w:rPr>
        <w:t>（四）未經註明而重複發表，致研究成果重複計算，影響審查之判斷。</w:t>
      </w:r>
    </w:p>
    <w:p w:rsidR="006E4BEF" w:rsidRDefault="006E4BEF" w:rsidP="006E4BEF">
      <w:pPr>
        <w:widowControl/>
        <w:snapToGrid w:val="0"/>
        <w:spacing w:line="360" w:lineRule="atLeast"/>
        <w:rPr>
          <w:rFonts w:ascii="華康仿宋體W6(P)" w:eastAsia="華康仿宋體W6(P)" w:hAnsi="標楷體" w:cs="新細明體" w:hint="eastAsia"/>
          <w:kern w:val="0"/>
        </w:rPr>
      </w:pPr>
      <w:r>
        <w:rPr>
          <w:rFonts w:ascii="華康仿宋體W6(P)" w:eastAsia="華康仿宋體W6(P)" w:hAnsi="標楷體" w:cs="新細明體" w:hint="eastAsia"/>
          <w:kern w:val="0"/>
        </w:rPr>
        <w:t>（五）其他嚴重違反學術倫理之情事。</w:t>
      </w:r>
    </w:p>
    <w:p w:rsidR="006E4BEF" w:rsidRDefault="006E4BEF" w:rsidP="006E4BEF">
      <w:pPr>
        <w:widowControl/>
        <w:snapToGrid w:val="0"/>
        <w:spacing w:line="360" w:lineRule="atLeast"/>
        <w:ind w:left="490" w:hangingChars="204" w:hanging="490"/>
        <w:rPr>
          <w:rFonts w:ascii="華康仿宋體W6(P)" w:eastAsia="華康仿宋體W6(P)" w:hAnsi="標楷體" w:cs="新細明體" w:hint="eastAsia"/>
          <w:kern w:val="0"/>
        </w:rPr>
      </w:pPr>
      <w:r>
        <w:rPr>
          <w:rFonts w:ascii="華康仿宋體W6(P)" w:eastAsia="華康仿宋體W6(P)" w:hAnsi="標楷體" w:cs="新細明體" w:hint="eastAsia"/>
          <w:kern w:val="0"/>
        </w:rPr>
        <w:t>三、本校違反學術倫理之檢舉案件，由研究發展組統籌受</w:t>
      </w:r>
      <w:r>
        <w:rPr>
          <w:rFonts w:ascii="華康仿宋體W6(P)" w:eastAsia="華康仿宋體W6(P)" w:hAnsi="新細明體" w:cs="新細明體" w:hint="eastAsia"/>
          <w:kern w:val="0"/>
        </w:rPr>
        <w:t>理</w:t>
      </w:r>
      <w:r>
        <w:rPr>
          <w:rFonts w:ascii="華康仿宋體W6(P)" w:eastAsia="華康仿宋體W6(P)" w:hAnsi="華康仿宋體W6(P)" w:cs="華康仿宋體W6(P)" w:hint="eastAsia"/>
          <w:kern w:val="0"/>
        </w:rPr>
        <w:t>，經初步認定可能違反學術</w:t>
      </w:r>
      <w:r>
        <w:rPr>
          <w:rFonts w:ascii="華康仿宋體W6(P)" w:eastAsia="華康仿宋體W6(P)" w:hAnsi="標楷體" w:cs="新細明體" w:hint="eastAsia"/>
          <w:kern w:val="0"/>
        </w:rPr>
        <w:t>倫理者，依行政程序簽請校長核准後，籌組學術倫理審議委員會(以下簡稱本會)進行調查、審議。對於檢舉人及被檢舉人之姓名與單位或其他足資辨</w:t>
      </w:r>
      <w:r>
        <w:rPr>
          <w:rFonts w:ascii="華康仿宋體W6(P)" w:eastAsia="華康仿宋體W6(P)" w:hAnsi="新細明體" w:cs="新細明體" w:hint="eastAsia"/>
          <w:kern w:val="0"/>
        </w:rPr>
        <w:t>識</w:t>
      </w:r>
      <w:r>
        <w:rPr>
          <w:rFonts w:ascii="華康仿宋體W6(P)" w:eastAsia="華康仿宋體W6(P)" w:hAnsi="華康仿宋體W6(P)" w:cs="華康仿宋體W6(P)" w:hint="eastAsia"/>
          <w:kern w:val="0"/>
        </w:rPr>
        <w:t>其身份之資</w:t>
      </w:r>
      <w:r>
        <w:rPr>
          <w:rFonts w:ascii="華康仿宋體W6(P)" w:eastAsia="華康仿宋體W6(P)" w:hAnsi="標楷體" w:cs="新細明體" w:hint="eastAsia"/>
          <w:kern w:val="0"/>
        </w:rPr>
        <w:t>料，應予保密。對於檢舉案件與資料，應以機密案處理之。檢舉案件經認定其與本會業務無關者，轉請相關權責單位處</w:t>
      </w:r>
      <w:r>
        <w:rPr>
          <w:rFonts w:ascii="華康仿宋體W6(P)" w:eastAsia="華康仿宋體W6(P)" w:hAnsi="新細明體" w:cs="新細明體" w:hint="eastAsia"/>
          <w:kern w:val="0"/>
        </w:rPr>
        <w:t>理</w:t>
      </w:r>
      <w:r>
        <w:rPr>
          <w:rFonts w:ascii="華康仿宋體W6(P)" w:eastAsia="華康仿宋體W6(P)" w:hAnsi="華康仿宋體W6(P)" w:cs="華康仿宋體W6(P)" w:hint="eastAsia"/>
          <w:kern w:val="0"/>
        </w:rPr>
        <w:t>。</w:t>
      </w:r>
    </w:p>
    <w:p w:rsidR="006E4BEF" w:rsidRDefault="006E4BEF" w:rsidP="006E4BEF">
      <w:pPr>
        <w:widowControl/>
        <w:snapToGrid w:val="0"/>
        <w:spacing w:line="360" w:lineRule="atLeast"/>
        <w:ind w:left="490" w:hangingChars="204" w:hanging="490"/>
        <w:rPr>
          <w:rFonts w:ascii="華康仿宋體W6(P)" w:eastAsia="華康仿宋體W6(P)" w:hAnsi="標楷體" w:cs="新細明體" w:hint="eastAsia"/>
          <w:kern w:val="0"/>
        </w:rPr>
      </w:pPr>
      <w:r>
        <w:rPr>
          <w:rFonts w:ascii="華康仿宋體W6(P)" w:eastAsia="華康仿宋體W6(P)" w:hAnsi="標楷體" w:cs="新細明體" w:hint="eastAsia"/>
          <w:kern w:val="0"/>
        </w:rPr>
        <w:t>四、本會負責受</w:t>
      </w:r>
      <w:r>
        <w:rPr>
          <w:rFonts w:ascii="華康仿宋體W6(P)" w:eastAsia="華康仿宋體W6(P)" w:hAnsi="新細明體" w:cs="新細明體" w:hint="eastAsia"/>
          <w:kern w:val="0"/>
        </w:rPr>
        <w:t>理</w:t>
      </w:r>
      <w:r>
        <w:rPr>
          <w:rFonts w:ascii="華康仿宋體W6(P)" w:eastAsia="華康仿宋體W6(P)" w:hAnsi="華康仿宋體W6(P)" w:cs="華康仿宋體W6(P)" w:hint="eastAsia"/>
          <w:kern w:val="0"/>
        </w:rPr>
        <w:t>、調查、審議違反學術</w:t>
      </w:r>
      <w:r>
        <w:rPr>
          <w:rFonts w:ascii="華康仿宋體W6(P)" w:eastAsia="華康仿宋體W6(P)" w:hAnsi="標楷體" w:cs="新細明體" w:hint="eastAsia"/>
          <w:kern w:val="0"/>
        </w:rPr>
        <w:t>倫理相關案件。置委員七至十一人，由校級教師評審委員會召集人為當然委員兼召集人，其餘委員由校長</w:t>
      </w:r>
      <w:proofErr w:type="gramStart"/>
      <w:r>
        <w:rPr>
          <w:rFonts w:ascii="華康仿宋體W6(P)" w:eastAsia="華康仿宋體W6(P)" w:hAnsi="標楷體" w:cs="新細明體" w:hint="eastAsia"/>
          <w:kern w:val="0"/>
        </w:rPr>
        <w:t>遴聘校</w:t>
      </w:r>
      <w:proofErr w:type="gramEnd"/>
      <w:r>
        <w:rPr>
          <w:rFonts w:ascii="華康仿宋體W6(P)" w:eastAsia="華康仿宋體W6(P)" w:hAnsi="標楷體" w:cs="新細明體" w:hint="eastAsia"/>
          <w:kern w:val="0"/>
        </w:rPr>
        <w:t>、內外專家學者組成。與被檢舉人現有或曾有師生、配偶或三親等內血親或姻親、學術合作關係或其他利害關係者，應予迴避。</w:t>
      </w:r>
    </w:p>
    <w:p w:rsidR="006E4BEF" w:rsidRDefault="006E4BEF" w:rsidP="006E4BEF">
      <w:pPr>
        <w:widowControl/>
        <w:snapToGrid w:val="0"/>
        <w:spacing w:line="360" w:lineRule="atLeast"/>
        <w:ind w:left="475" w:hangingChars="198" w:hanging="475"/>
        <w:rPr>
          <w:rFonts w:ascii="華康仿宋體W6(P)" w:eastAsia="華康仿宋體W6(P)" w:hAnsi="標楷體" w:cs="新細明體" w:hint="eastAsia"/>
          <w:kern w:val="0"/>
        </w:rPr>
      </w:pPr>
      <w:r>
        <w:rPr>
          <w:rFonts w:ascii="華康仿宋體W6(P)" w:eastAsia="華康仿宋體W6(P)" w:hAnsi="標楷體" w:cs="新細明體" w:hint="eastAsia"/>
          <w:kern w:val="0"/>
        </w:rPr>
        <w:t>五、本會開會前，應通知被檢舉人針對檢舉內容於三</w:t>
      </w:r>
      <w:proofErr w:type="gramStart"/>
      <w:r>
        <w:rPr>
          <w:rFonts w:ascii="華康仿宋體W6(P)" w:eastAsia="華康仿宋體W6(P)" w:hAnsi="標楷體" w:cs="新細明體" w:hint="eastAsia"/>
          <w:kern w:val="0"/>
        </w:rPr>
        <w:t>週</w:t>
      </w:r>
      <w:proofErr w:type="gramEnd"/>
      <w:r>
        <w:rPr>
          <w:rFonts w:ascii="華康仿宋體W6(P)" w:eastAsia="華康仿宋體W6(P)" w:hAnsi="標楷體" w:cs="新細明體" w:hint="eastAsia"/>
          <w:kern w:val="0"/>
        </w:rPr>
        <w:t>內提出書面答辯。本會開會時，應有三分之二以上委員出席始得開會，並得邀請檢舉人、被檢舉人或相關當事人</w:t>
      </w:r>
      <w:r>
        <w:rPr>
          <w:rFonts w:ascii="華康仿宋體W6(P)" w:eastAsia="華康仿宋體W6(P)" w:hAnsi="新細明體" w:cs="新細明體" w:hint="eastAsia"/>
          <w:kern w:val="0"/>
        </w:rPr>
        <w:t>列</w:t>
      </w:r>
      <w:r>
        <w:rPr>
          <w:rFonts w:ascii="華康仿宋體W6(P)" w:eastAsia="華康仿宋體W6(P)" w:hAnsi="華康仿宋體W6(P)" w:cs="華康仿宋體W6(P)" w:hint="eastAsia"/>
          <w:kern w:val="0"/>
        </w:rPr>
        <w:t>席</w:t>
      </w:r>
      <w:r>
        <w:rPr>
          <w:rFonts w:ascii="華康仿宋體W6(P)" w:eastAsia="華康仿宋體W6(P)" w:hAnsi="新細明體" w:cs="新細明體" w:hint="eastAsia"/>
          <w:kern w:val="0"/>
        </w:rPr>
        <w:t>說</w:t>
      </w:r>
      <w:r>
        <w:rPr>
          <w:rFonts w:ascii="華康仿宋體W6(P)" w:eastAsia="華康仿宋體W6(P)" w:hAnsi="華康仿宋體W6(P)" w:cs="華康仿宋體W6(P)" w:hint="eastAsia"/>
          <w:kern w:val="0"/>
        </w:rPr>
        <w:t>明。出席委員三分之二以上之同意，始得就檢舉案件為處分之決議。</w:t>
      </w:r>
    </w:p>
    <w:p w:rsidR="006E4BEF" w:rsidRDefault="006E4BEF" w:rsidP="006E4BEF">
      <w:pPr>
        <w:widowControl/>
        <w:snapToGrid w:val="0"/>
        <w:spacing w:line="360" w:lineRule="atLeast"/>
        <w:ind w:left="475" w:hangingChars="198" w:hanging="475"/>
        <w:rPr>
          <w:rFonts w:ascii="華康仿宋體W6(P)" w:eastAsia="華康仿宋體W6(P)" w:hAnsi="標楷體" w:cs="新細明體" w:hint="eastAsia"/>
          <w:kern w:val="0"/>
        </w:rPr>
      </w:pPr>
      <w:r>
        <w:rPr>
          <w:rFonts w:ascii="華康仿宋體W6(P)" w:eastAsia="華康仿宋體W6(P)" w:hAnsi="標楷體" w:cs="新細明體" w:hint="eastAsia"/>
          <w:kern w:val="0"/>
        </w:rPr>
        <w:t>六、違反學術倫理案件之處</w:t>
      </w:r>
      <w:r>
        <w:rPr>
          <w:rFonts w:ascii="華康仿宋體W6(P)" w:eastAsia="華康仿宋體W6(P)" w:hAnsi="新細明體" w:cs="新細明體" w:hint="eastAsia"/>
          <w:kern w:val="0"/>
        </w:rPr>
        <w:t>理</w:t>
      </w:r>
      <w:r>
        <w:rPr>
          <w:rFonts w:ascii="華康仿宋體W6(P)" w:eastAsia="華康仿宋體W6(P)" w:hAnsi="華康仿宋體W6(P)" w:cs="華康仿宋體W6(P)" w:hint="eastAsia"/>
          <w:kern w:val="0"/>
        </w:rPr>
        <w:t>，應尊重專業</w:t>
      </w:r>
      <w:r>
        <w:rPr>
          <w:rFonts w:ascii="新細明體" w:eastAsia="新細明體" w:hAnsi="新細明體" w:cs="新細明體" w:hint="eastAsia"/>
          <w:kern w:val="0"/>
        </w:rPr>
        <w:t>領</w:t>
      </w:r>
      <w:r>
        <w:rPr>
          <w:rFonts w:ascii="華康仿宋體W6(P)" w:eastAsia="華康仿宋體W6(P)" w:hAnsi="華康仿宋體W6(P)" w:cs="華康仿宋體W6(P)" w:hint="eastAsia"/>
          <w:kern w:val="0"/>
        </w:rPr>
        <w:t>域之判斷。本會進</w:t>
      </w:r>
      <w:r>
        <w:rPr>
          <w:rFonts w:ascii="華康仿宋體W6(P)" w:eastAsia="華康仿宋體W6(P)" w:hAnsi="新細明體" w:cs="新細明體" w:hint="eastAsia"/>
          <w:kern w:val="0"/>
        </w:rPr>
        <w:t>行</w:t>
      </w:r>
      <w:r>
        <w:rPr>
          <w:rFonts w:ascii="華康仿宋體W6(P)" w:eastAsia="華康仿宋體W6(P)" w:hAnsi="華康仿宋體W6(P)" w:cs="華康仿宋體W6(P)" w:hint="eastAsia"/>
          <w:kern w:val="0"/>
        </w:rPr>
        <w:t>審議如有認定困難之情事時，應將檢舉內容與答辯書送請公正學者或法律專家二至四人參與本會之審查，並應於二個月內辦</w:t>
      </w:r>
      <w:r>
        <w:rPr>
          <w:rFonts w:ascii="華康仿宋體W6(P)" w:eastAsia="華康仿宋體W6(P)" w:hAnsi="新細明體" w:cs="新細明體" w:hint="eastAsia"/>
          <w:kern w:val="0"/>
        </w:rPr>
        <w:t>理</w:t>
      </w:r>
      <w:r>
        <w:rPr>
          <w:rFonts w:ascii="華康仿宋體W6(P)" w:eastAsia="華康仿宋體W6(P)" w:hAnsi="華康仿宋體W6(P)" w:cs="華康仿宋體W6(P)" w:hint="eastAsia"/>
          <w:kern w:val="0"/>
        </w:rPr>
        <w:t>完成；必要時，得予延長。</w:t>
      </w:r>
    </w:p>
    <w:p w:rsidR="006E4BEF" w:rsidRDefault="006E4BEF" w:rsidP="006E4BEF">
      <w:pPr>
        <w:widowControl/>
        <w:snapToGrid w:val="0"/>
        <w:spacing w:line="360" w:lineRule="atLeast"/>
        <w:ind w:left="475" w:hangingChars="198" w:hanging="475"/>
        <w:rPr>
          <w:rFonts w:ascii="華康仿宋體W6(P)" w:eastAsia="華康仿宋體W6(P)" w:hAnsi="標楷體" w:cs="新細明體" w:hint="eastAsia"/>
          <w:kern w:val="0"/>
        </w:rPr>
      </w:pPr>
      <w:r>
        <w:rPr>
          <w:rFonts w:ascii="華康仿宋體W6(P)" w:eastAsia="華康仿宋體W6(P)" w:hAnsi="標楷體" w:cs="新細明體" w:hint="eastAsia"/>
          <w:kern w:val="0"/>
        </w:rPr>
        <w:t>七、本會就違反學術倫理案件之調查與審議結果，應以書面通知檢舉人、被檢舉人及其所屬單位。檢舉人與被檢舉人，得依具體事證提出申復，有具體新事證者，本會應依本要點調查及處</w:t>
      </w:r>
      <w:r>
        <w:rPr>
          <w:rFonts w:ascii="華康仿宋體W6(P)" w:eastAsia="華康仿宋體W6(P)" w:hAnsi="新細明體" w:cs="新細明體" w:hint="eastAsia"/>
          <w:kern w:val="0"/>
        </w:rPr>
        <w:t>理</w:t>
      </w:r>
      <w:r>
        <w:rPr>
          <w:rFonts w:ascii="華康仿宋體W6(P)" w:eastAsia="華康仿宋體W6(P)" w:hAnsi="華康仿宋體W6(P)" w:cs="華康仿宋體W6(P)" w:hint="eastAsia"/>
          <w:kern w:val="0"/>
        </w:rPr>
        <w:t>。</w:t>
      </w:r>
      <w:r>
        <w:rPr>
          <w:rFonts w:ascii="華康仿宋體W6(P)" w:eastAsia="華康仿宋體W6(P)" w:hAnsi="新細明體" w:cs="新細明體" w:hint="eastAsia"/>
          <w:kern w:val="0"/>
        </w:rPr>
        <w:t>若</w:t>
      </w:r>
      <w:r>
        <w:rPr>
          <w:rFonts w:ascii="華康仿宋體W6(P)" w:eastAsia="華康仿宋體W6(P)" w:hAnsi="華康仿宋體W6(P)" w:cs="華康仿宋體W6(P)" w:hint="eastAsia"/>
          <w:kern w:val="0"/>
        </w:rPr>
        <w:t>在審議過程遭受</w:t>
      </w:r>
      <w:r>
        <w:rPr>
          <w:rFonts w:ascii="華康仿宋體W6(P)" w:eastAsia="華康仿宋體W6(P)" w:hAnsi="新細明體" w:cs="新細明體" w:hint="eastAsia"/>
          <w:kern w:val="0"/>
        </w:rPr>
        <w:t>不</w:t>
      </w:r>
      <w:r>
        <w:rPr>
          <w:rFonts w:ascii="華康仿宋體W6(P)" w:eastAsia="華康仿宋體W6(P)" w:hAnsi="華康仿宋體W6(P)" w:cs="華康仿宋體W6(P)" w:hint="eastAsia"/>
          <w:kern w:val="0"/>
        </w:rPr>
        <w:t>平等或</w:t>
      </w:r>
      <w:r>
        <w:rPr>
          <w:rFonts w:ascii="華康仿宋體W6(P)" w:eastAsia="華康仿宋體W6(P)" w:hAnsi="新細明體" w:cs="新細明體" w:hint="eastAsia"/>
          <w:kern w:val="0"/>
        </w:rPr>
        <w:t>不</w:t>
      </w:r>
      <w:r>
        <w:rPr>
          <w:rFonts w:ascii="華康仿宋體W6(P)" w:eastAsia="華康仿宋體W6(P)" w:hAnsi="華康仿宋體W6(P)" w:cs="華康仿宋體W6(P)" w:hint="eastAsia"/>
          <w:kern w:val="0"/>
        </w:rPr>
        <w:t>公平之對待，或對審議結果</w:t>
      </w:r>
      <w:r>
        <w:rPr>
          <w:rFonts w:ascii="華康仿宋體W6(P)" w:eastAsia="華康仿宋體W6(P)" w:hAnsi="新細明體" w:cs="新細明體" w:hint="eastAsia"/>
          <w:kern w:val="0"/>
        </w:rPr>
        <w:t>不</w:t>
      </w:r>
      <w:r>
        <w:rPr>
          <w:rFonts w:ascii="華康仿宋體W6(P)" w:eastAsia="華康仿宋體W6(P)" w:hAnsi="華康仿宋體W6(P)" w:cs="華康仿宋體W6(P)" w:hint="eastAsia"/>
          <w:kern w:val="0"/>
        </w:rPr>
        <w:t>服，得於收到審議結果之次日起三十天內，向本校職工人事評議委員會提出申訴。</w:t>
      </w:r>
    </w:p>
    <w:p w:rsidR="006E4BEF" w:rsidRDefault="006E4BEF" w:rsidP="006E4BEF">
      <w:pPr>
        <w:widowControl/>
        <w:snapToGrid w:val="0"/>
        <w:spacing w:line="360" w:lineRule="atLeast"/>
        <w:ind w:left="475" w:hangingChars="198" w:hanging="475"/>
        <w:rPr>
          <w:rFonts w:ascii="華康仿宋體W6(P)" w:eastAsia="華康仿宋體W6(P)" w:hAnsi="標楷體" w:cs="新細明體" w:hint="eastAsia"/>
          <w:kern w:val="0"/>
        </w:rPr>
      </w:pPr>
      <w:r>
        <w:rPr>
          <w:rFonts w:ascii="華康仿宋體W6(P)" w:eastAsia="華康仿宋體W6(P)" w:hAnsi="標楷體" w:cs="新細明體" w:hint="eastAsia"/>
          <w:kern w:val="0"/>
        </w:rPr>
        <w:lastRenderedPageBreak/>
        <w:t>八、本會就違反學術倫理案件之調查結果進</w:t>
      </w:r>
      <w:r>
        <w:rPr>
          <w:rFonts w:ascii="華康仿宋體W6(P)" w:eastAsia="華康仿宋體W6(P)" w:hAnsi="新細明體" w:cs="新細明體" w:hint="eastAsia"/>
          <w:kern w:val="0"/>
        </w:rPr>
        <w:t>行</w:t>
      </w:r>
      <w:r>
        <w:rPr>
          <w:rFonts w:ascii="華康仿宋體W6(P)" w:eastAsia="華康仿宋體W6(P)" w:hAnsi="華康仿宋體W6(P)" w:cs="華康仿宋體W6(P)" w:hint="eastAsia"/>
          <w:kern w:val="0"/>
        </w:rPr>
        <w:t>審議，如認定違反學術</w:t>
      </w:r>
      <w:r>
        <w:rPr>
          <w:rFonts w:ascii="華康仿宋體W6(P)" w:eastAsia="華康仿宋體W6(P)" w:hAnsi="標楷體" w:cs="新細明體" w:hint="eastAsia"/>
          <w:kern w:val="0"/>
        </w:rPr>
        <w:t>倫理證據確</w:t>
      </w:r>
      <w:r>
        <w:rPr>
          <w:rFonts w:ascii="華康仿宋體W6(P)" w:eastAsia="華康仿宋體W6(P)" w:hAnsi="新細明體" w:cs="新細明體" w:hint="eastAsia"/>
          <w:kern w:val="0"/>
        </w:rPr>
        <w:t>切</w:t>
      </w:r>
      <w:r>
        <w:rPr>
          <w:rFonts w:ascii="華康仿宋體W6(P)" w:eastAsia="華康仿宋體W6(P)" w:hAnsi="華康仿宋體W6(P)" w:cs="華康仿宋體W6(P)" w:hint="eastAsia"/>
          <w:kern w:val="0"/>
        </w:rPr>
        <w:t>時，得按其情節輕重，對被檢舉人作成下</w:t>
      </w:r>
      <w:r>
        <w:rPr>
          <w:rFonts w:ascii="華康仿宋體W6(P)" w:eastAsia="華康仿宋體W6(P)" w:hAnsi="新細明體" w:cs="新細明體" w:hint="eastAsia"/>
          <w:kern w:val="0"/>
        </w:rPr>
        <w:t>列</w:t>
      </w:r>
      <w:r>
        <w:rPr>
          <w:rFonts w:ascii="華康仿宋體W6(P)" w:eastAsia="華康仿宋體W6(P)" w:hAnsi="華康仿宋體W6(P)" w:cs="華康仿宋體W6(P)" w:hint="eastAsia"/>
          <w:kern w:val="0"/>
        </w:rPr>
        <w:t>各款之處分或補償建議，並視情況函轉相關單位或委員會</w:t>
      </w:r>
      <w:r>
        <w:rPr>
          <w:rFonts w:ascii="新細明體" w:eastAsia="新細明體" w:hAnsi="新細明體" w:cs="新細明體" w:hint="eastAsia"/>
          <w:kern w:val="0"/>
        </w:rPr>
        <w:t>參</w:t>
      </w:r>
      <w:r>
        <w:rPr>
          <w:rFonts w:ascii="華康仿宋體W6(P)" w:eastAsia="華康仿宋體W6(P)" w:hAnsi="華康仿宋體W6(P)" w:cs="華康仿宋體W6(P)" w:hint="eastAsia"/>
          <w:kern w:val="0"/>
        </w:rPr>
        <w:t>處。</w:t>
      </w:r>
    </w:p>
    <w:p w:rsidR="006E4BEF" w:rsidRDefault="006E4BEF" w:rsidP="006E4BEF">
      <w:pPr>
        <w:widowControl/>
        <w:snapToGrid w:val="0"/>
        <w:spacing w:line="360" w:lineRule="atLeast"/>
        <w:ind w:left="475" w:hangingChars="198" w:hanging="475"/>
        <w:rPr>
          <w:rFonts w:ascii="華康仿宋體W6(P)" w:eastAsia="華康仿宋體W6(P)" w:hAnsi="標楷體" w:cs="新細明體" w:hint="eastAsia"/>
          <w:kern w:val="0"/>
        </w:rPr>
      </w:pPr>
      <w:r>
        <w:rPr>
          <w:rFonts w:ascii="華康仿宋體W6(P)" w:eastAsia="華康仿宋體W6(P)" w:hAnsi="標楷體" w:cs="新細明體" w:hint="eastAsia"/>
          <w:kern w:val="0"/>
        </w:rPr>
        <w:t>(</w:t>
      </w:r>
      <w:proofErr w:type="gramStart"/>
      <w:r>
        <w:rPr>
          <w:rFonts w:ascii="華康仿宋體W6(P)" w:eastAsia="華康仿宋體W6(P)" w:hAnsi="標楷體" w:cs="新細明體" w:hint="eastAsia"/>
          <w:kern w:val="0"/>
        </w:rPr>
        <w:t>一</w:t>
      </w:r>
      <w:proofErr w:type="gramEnd"/>
      <w:r>
        <w:rPr>
          <w:rFonts w:ascii="華康仿宋體W6(P)" w:eastAsia="華康仿宋體W6(P)" w:hAnsi="標楷體" w:cs="新細明體" w:hint="eastAsia"/>
          <w:kern w:val="0"/>
        </w:rPr>
        <w:t>) 書面申誡。</w:t>
      </w:r>
    </w:p>
    <w:p w:rsidR="006E4BEF" w:rsidRDefault="006E4BEF" w:rsidP="006E4BEF">
      <w:pPr>
        <w:widowControl/>
        <w:snapToGrid w:val="0"/>
        <w:spacing w:line="360" w:lineRule="atLeast"/>
        <w:ind w:left="475" w:hangingChars="198" w:hanging="475"/>
        <w:rPr>
          <w:rFonts w:ascii="華康仿宋體W6(P)" w:eastAsia="華康仿宋體W6(P)" w:hAnsi="標楷體" w:cs="新細明體" w:hint="eastAsia"/>
          <w:kern w:val="0"/>
        </w:rPr>
      </w:pPr>
      <w:r>
        <w:rPr>
          <w:rFonts w:ascii="華康仿宋體W6(P)" w:eastAsia="華康仿宋體W6(P)" w:hAnsi="標楷體" w:cs="新細明體" w:hint="eastAsia"/>
          <w:kern w:val="0"/>
        </w:rPr>
        <w:t>(二) 停止受</w:t>
      </w:r>
      <w:r>
        <w:rPr>
          <w:rFonts w:ascii="華康仿宋體W6(P)" w:eastAsia="華康仿宋體W6(P)" w:hAnsi="新細明體" w:cs="新細明體" w:hint="eastAsia"/>
          <w:kern w:val="0"/>
        </w:rPr>
        <w:t>理</w:t>
      </w:r>
      <w:r>
        <w:rPr>
          <w:rFonts w:ascii="華康仿宋體W6(P)" w:eastAsia="華康仿宋體W6(P)" w:hAnsi="華康仿宋體W6(P)" w:cs="華康仿宋體W6(P)" w:hint="eastAsia"/>
          <w:kern w:val="0"/>
        </w:rPr>
        <w:t>升等申請或各</w:t>
      </w:r>
      <w:r>
        <w:rPr>
          <w:rFonts w:ascii="華康仿宋體W6(P)" w:eastAsia="華康仿宋體W6(P)" w:hAnsi="標楷體" w:cs="新細明體" w:hint="eastAsia"/>
          <w:kern w:val="0"/>
        </w:rPr>
        <w:t>項研究獎補助。</w:t>
      </w:r>
    </w:p>
    <w:p w:rsidR="006E4BEF" w:rsidRDefault="006E4BEF" w:rsidP="006E4BEF">
      <w:pPr>
        <w:widowControl/>
        <w:snapToGrid w:val="0"/>
        <w:spacing w:line="360" w:lineRule="atLeast"/>
        <w:ind w:left="475" w:hangingChars="198" w:hanging="475"/>
        <w:rPr>
          <w:rFonts w:ascii="華康仿宋體W6(P)" w:eastAsia="華康仿宋體W6(P)" w:hAnsi="標楷體" w:cs="新細明體" w:hint="eastAsia"/>
          <w:kern w:val="0"/>
        </w:rPr>
      </w:pPr>
      <w:r>
        <w:rPr>
          <w:rFonts w:ascii="華康仿宋體W6(P)" w:eastAsia="華康仿宋體W6(P)" w:hAnsi="標楷體" w:cs="新細明體" w:hint="eastAsia"/>
          <w:kern w:val="0"/>
        </w:rPr>
        <w:t>(三) 追回與本案相關之研究獎</w:t>
      </w:r>
      <w:r>
        <w:rPr>
          <w:rFonts w:ascii="華康仿宋體W6(P)" w:eastAsia="華康仿宋體W6(P)" w:hAnsi="新細明體" w:cs="新細明體" w:hint="eastAsia"/>
          <w:kern w:val="0"/>
        </w:rPr>
        <w:t>勵</w:t>
      </w:r>
      <w:r>
        <w:rPr>
          <w:rFonts w:ascii="華康仿宋體W6(P)" w:eastAsia="華康仿宋體W6(P)" w:hAnsi="華康仿宋體W6(P)" w:cs="華康仿宋體W6(P)" w:hint="eastAsia"/>
          <w:kern w:val="0"/>
        </w:rPr>
        <w:t>補助與費用。</w:t>
      </w:r>
    </w:p>
    <w:p w:rsidR="006E4BEF" w:rsidRDefault="006E4BEF" w:rsidP="006E4BEF">
      <w:pPr>
        <w:widowControl/>
        <w:snapToGrid w:val="0"/>
        <w:spacing w:line="360" w:lineRule="atLeast"/>
        <w:ind w:left="475" w:hangingChars="198" w:hanging="475"/>
        <w:rPr>
          <w:rFonts w:ascii="華康仿宋體W6(P)" w:eastAsia="華康仿宋體W6(P)" w:hAnsi="標楷體" w:cs="新細明體" w:hint="eastAsia"/>
          <w:kern w:val="0"/>
        </w:rPr>
      </w:pPr>
      <w:r>
        <w:rPr>
          <w:rFonts w:ascii="華康仿宋體W6(P)" w:eastAsia="華康仿宋體W6(P)" w:hAnsi="標楷體" w:cs="新細明體" w:hint="eastAsia"/>
          <w:kern w:val="0"/>
        </w:rPr>
        <w:t>(四) 補償相關當事人之損失。</w:t>
      </w:r>
    </w:p>
    <w:p w:rsidR="006E4BEF" w:rsidRDefault="006E4BEF" w:rsidP="006E4BEF">
      <w:pPr>
        <w:widowControl/>
        <w:snapToGrid w:val="0"/>
        <w:spacing w:line="360" w:lineRule="atLeast"/>
        <w:ind w:left="475" w:hangingChars="198" w:hanging="475"/>
        <w:rPr>
          <w:rFonts w:ascii="華康仿宋體W6(P)" w:eastAsia="華康仿宋體W6(P)" w:hAnsi="標楷體" w:cs="新細明體" w:hint="eastAsia"/>
          <w:kern w:val="0"/>
        </w:rPr>
      </w:pPr>
      <w:r>
        <w:rPr>
          <w:rFonts w:ascii="華康仿宋體W6(P)" w:eastAsia="華康仿宋體W6(P)" w:hAnsi="標楷體" w:cs="新細明體" w:hint="eastAsia"/>
          <w:kern w:val="0"/>
        </w:rPr>
        <w:t>(五) 解聘、停聘、</w:t>
      </w:r>
      <w:proofErr w:type="gramStart"/>
      <w:r>
        <w:rPr>
          <w:rFonts w:ascii="華康仿宋體W6(P)" w:eastAsia="華康仿宋體W6(P)" w:hAnsi="新細明體" w:cs="新細明體" w:hint="eastAsia"/>
          <w:kern w:val="0"/>
        </w:rPr>
        <w:t>不</w:t>
      </w:r>
      <w:proofErr w:type="gramEnd"/>
      <w:r>
        <w:rPr>
          <w:rFonts w:ascii="華康仿宋體W6(P)" w:eastAsia="華康仿宋體W6(P)" w:hAnsi="華康仿宋體W6(P)" w:cs="華康仿宋體W6(P)" w:hint="eastAsia"/>
          <w:kern w:val="0"/>
        </w:rPr>
        <w:t>續聘之校教評會提案。</w:t>
      </w:r>
      <w:r>
        <w:rPr>
          <w:rFonts w:ascii="華康仿宋體W6(P)" w:eastAsia="華康仿宋體W6(P)" w:hAnsi="標楷體" w:cs="新細明體" w:hint="eastAsia"/>
          <w:kern w:val="0"/>
        </w:rPr>
        <w:t xml:space="preserve">   </w:t>
      </w:r>
    </w:p>
    <w:p w:rsidR="006E4BEF" w:rsidRDefault="006E4BEF" w:rsidP="006E4BEF">
      <w:pPr>
        <w:widowControl/>
        <w:snapToGrid w:val="0"/>
        <w:spacing w:line="360" w:lineRule="atLeast"/>
        <w:ind w:left="490" w:hangingChars="204" w:hanging="490"/>
        <w:rPr>
          <w:rFonts w:ascii="華康仿宋體W6(P)" w:eastAsia="華康仿宋體W6(P)" w:hAnsi="標楷體" w:cs="新細明體" w:hint="eastAsia"/>
          <w:kern w:val="0"/>
        </w:rPr>
      </w:pPr>
      <w:r>
        <w:rPr>
          <w:rFonts w:ascii="華康仿宋體W6(P)" w:eastAsia="華康仿宋體W6(P)" w:hAnsi="標楷體" w:cs="新細明體" w:hint="eastAsia"/>
          <w:kern w:val="0"/>
        </w:rPr>
        <w:t>九、檢舉案經審結後判定未違反學術倫理案者，檢舉人</w:t>
      </w:r>
      <w:r>
        <w:rPr>
          <w:rFonts w:ascii="華康仿宋體W6(P)" w:eastAsia="華康仿宋體W6(P)" w:hAnsi="新細明體" w:cs="新細明體" w:hint="eastAsia"/>
          <w:kern w:val="0"/>
        </w:rPr>
        <w:t>若</w:t>
      </w:r>
      <w:r>
        <w:rPr>
          <w:rFonts w:ascii="華康仿宋體W6(P)" w:eastAsia="華康仿宋體W6(P)" w:hAnsi="華康仿宋體W6(P)" w:cs="華康仿宋體W6(P)" w:hint="eastAsia"/>
          <w:kern w:val="0"/>
        </w:rPr>
        <w:t>再次提出檢舉，應提本會審議，如有新證據，再進</w:t>
      </w:r>
      <w:r>
        <w:rPr>
          <w:rFonts w:ascii="華康仿宋體W6(P)" w:eastAsia="華康仿宋體W6(P)" w:hAnsi="新細明體" w:cs="新細明體" w:hint="eastAsia"/>
          <w:kern w:val="0"/>
        </w:rPr>
        <w:t>行</w:t>
      </w:r>
      <w:r>
        <w:rPr>
          <w:rFonts w:ascii="華康仿宋體W6(P)" w:eastAsia="華康仿宋體W6(P)" w:hAnsi="華康仿宋體W6(P)" w:cs="華康仿宋體W6(P)" w:hint="eastAsia"/>
          <w:kern w:val="0"/>
        </w:rPr>
        <w:t>調查與審</w:t>
      </w:r>
      <w:r>
        <w:rPr>
          <w:rFonts w:ascii="華康仿宋體W6(P)" w:eastAsia="華康仿宋體W6(P)" w:hAnsi="新細明體" w:cs="新細明體" w:hint="eastAsia"/>
          <w:kern w:val="0"/>
        </w:rPr>
        <w:t>理</w:t>
      </w:r>
      <w:r>
        <w:rPr>
          <w:rFonts w:ascii="華康仿宋體W6(P)" w:eastAsia="華康仿宋體W6(P)" w:hAnsi="華康仿宋體W6(P)" w:cs="華康仿宋體W6(P)" w:hint="eastAsia"/>
          <w:kern w:val="0"/>
        </w:rPr>
        <w:t>；否則依審議結</w:t>
      </w:r>
      <w:r>
        <w:rPr>
          <w:rFonts w:ascii="華康仿宋體W6(P)" w:eastAsia="華康仿宋體W6(P)" w:hAnsi="標楷體" w:cs="新細明體" w:hint="eastAsia"/>
          <w:kern w:val="0"/>
        </w:rPr>
        <w:t>論</w:t>
      </w:r>
      <w:proofErr w:type="gramStart"/>
      <w:r>
        <w:rPr>
          <w:rFonts w:ascii="華康仿宋體W6(P)" w:eastAsia="華康仿宋體W6(P)" w:hAnsi="標楷體" w:cs="新細明體" w:hint="eastAsia"/>
          <w:kern w:val="0"/>
        </w:rPr>
        <w:t>逕</w:t>
      </w:r>
      <w:proofErr w:type="gramEnd"/>
      <w:r>
        <w:rPr>
          <w:rFonts w:ascii="新細明體" w:eastAsia="新細明體" w:hAnsi="新細明體" w:cs="新細明體" w:hint="eastAsia"/>
          <w:kern w:val="0"/>
        </w:rPr>
        <w:t>復</w:t>
      </w:r>
      <w:r>
        <w:rPr>
          <w:rFonts w:ascii="華康仿宋體W6(P)" w:eastAsia="華康仿宋體W6(P)" w:hAnsi="華康仿宋體W6(P)" w:cs="華康仿宋體W6(P)" w:hint="eastAsia"/>
          <w:kern w:val="0"/>
        </w:rPr>
        <w:t>檢舉人。檢舉人如有</w:t>
      </w:r>
      <w:r>
        <w:rPr>
          <w:rFonts w:ascii="華康仿宋體W6(P)" w:eastAsia="華康仿宋體W6(P)" w:hAnsi="新細明體" w:cs="新細明體" w:hint="eastAsia"/>
          <w:kern w:val="0"/>
        </w:rPr>
        <w:t>不</w:t>
      </w:r>
      <w:r>
        <w:rPr>
          <w:rFonts w:ascii="華康仿宋體W6(P)" w:eastAsia="華康仿宋體W6(P)" w:hAnsi="華康仿宋體W6(P)" w:cs="華康仿宋體W6(P)" w:hint="eastAsia"/>
          <w:kern w:val="0"/>
        </w:rPr>
        <w:t>服審議結</w:t>
      </w:r>
      <w:r>
        <w:rPr>
          <w:rFonts w:ascii="華康仿宋體W6(P)" w:eastAsia="華康仿宋體W6(P)" w:hAnsi="標楷體" w:cs="新細明體" w:hint="eastAsia"/>
          <w:kern w:val="0"/>
        </w:rPr>
        <w:t>論，除提司法告訴，否則</w:t>
      </w:r>
      <w:r>
        <w:rPr>
          <w:rFonts w:ascii="華康仿宋體W6(P)" w:eastAsia="華康仿宋體W6(P)" w:hAnsi="新細明體" w:cs="新細明體" w:hint="eastAsia"/>
          <w:kern w:val="0"/>
        </w:rPr>
        <w:t>不</w:t>
      </w:r>
      <w:r>
        <w:rPr>
          <w:rFonts w:ascii="華康仿宋體W6(P)" w:eastAsia="華康仿宋體W6(P)" w:hAnsi="華康仿宋體W6(P)" w:cs="華康仿宋體W6(P)" w:hint="eastAsia"/>
          <w:kern w:val="0"/>
        </w:rPr>
        <w:t>再另作處</w:t>
      </w:r>
      <w:r>
        <w:rPr>
          <w:rFonts w:ascii="華康仿宋體W6(P)" w:eastAsia="華康仿宋體W6(P)" w:hAnsi="新細明體" w:cs="新細明體" w:hint="eastAsia"/>
          <w:kern w:val="0"/>
        </w:rPr>
        <w:t>理</w:t>
      </w:r>
      <w:r>
        <w:rPr>
          <w:rFonts w:ascii="華康仿宋體W6(P)" w:eastAsia="華康仿宋體W6(P)" w:hAnsi="華康仿宋體W6(P)" w:cs="華康仿宋體W6(P)" w:hint="eastAsia"/>
          <w:kern w:val="0"/>
        </w:rPr>
        <w:t>。</w:t>
      </w:r>
    </w:p>
    <w:p w:rsidR="006E4BEF" w:rsidRDefault="006E4BEF" w:rsidP="006E4BEF">
      <w:pPr>
        <w:widowControl/>
        <w:snapToGrid w:val="0"/>
        <w:spacing w:line="360" w:lineRule="atLeast"/>
        <w:rPr>
          <w:rFonts w:ascii="華康仿宋體W6(P)" w:eastAsia="華康仿宋體W6(P)" w:hAnsi="標楷體" w:cs="新細明體" w:hint="eastAsia"/>
          <w:kern w:val="0"/>
        </w:rPr>
      </w:pPr>
      <w:r>
        <w:rPr>
          <w:rFonts w:ascii="華康仿宋體W6(P)" w:eastAsia="華康仿宋體W6(P)" w:hAnsi="標楷體" w:cs="新細明體" w:hint="eastAsia"/>
          <w:kern w:val="0"/>
        </w:rPr>
        <w:t>十、本要點未盡事宜，悉依教育部與科技部相關規定辦</w:t>
      </w:r>
      <w:r>
        <w:rPr>
          <w:rFonts w:ascii="華康仿宋體W6(P)" w:eastAsia="華康仿宋體W6(P)" w:hAnsi="新細明體" w:cs="新細明體" w:hint="eastAsia"/>
          <w:kern w:val="0"/>
        </w:rPr>
        <w:t>理</w:t>
      </w:r>
      <w:r>
        <w:rPr>
          <w:rFonts w:ascii="華康仿宋體W6(P)" w:eastAsia="華康仿宋體W6(P)" w:hAnsi="華康仿宋體W6(P)" w:cs="華康仿宋體W6(P)" w:hint="eastAsia"/>
          <w:kern w:val="0"/>
        </w:rPr>
        <w:t>。</w:t>
      </w:r>
    </w:p>
    <w:p w:rsidR="006E4BEF" w:rsidRDefault="006E4BEF" w:rsidP="006E4BEF">
      <w:pPr>
        <w:adjustRightInd w:val="0"/>
        <w:snapToGrid w:val="0"/>
        <w:spacing w:line="360" w:lineRule="atLeast"/>
        <w:rPr>
          <w:rFonts w:ascii="華康仿宋體W6(P)" w:eastAsia="華康仿宋體W6(P)" w:hAnsi="標楷體" w:cs="華康標楷體(P)" w:hint="eastAsia"/>
          <w:color w:val="000000"/>
          <w:sz w:val="28"/>
          <w:szCs w:val="28"/>
        </w:rPr>
      </w:pPr>
      <w:r>
        <w:rPr>
          <w:rFonts w:ascii="華康仿宋體W6(P)" w:eastAsia="華康仿宋體W6(P)" w:hAnsi="標楷體" w:cs="新細明體" w:hint="eastAsia"/>
          <w:kern w:val="0"/>
        </w:rPr>
        <w:t>十一、本要點經校務會議通過，陳請校長核定後公布實施，修正時亦同。</w:t>
      </w:r>
    </w:p>
    <w:p w:rsidR="006E4BEF" w:rsidRDefault="006E4BEF" w:rsidP="006E4BEF">
      <w:pPr>
        <w:widowControl/>
        <w:autoSpaceDE w:val="0"/>
        <w:autoSpaceDN w:val="0"/>
        <w:snapToGrid w:val="0"/>
        <w:spacing w:beforeLines="30" w:before="108" w:line="360" w:lineRule="atLeast"/>
        <w:ind w:left="1655" w:hangingChars="591" w:hanging="1655"/>
        <w:jc w:val="both"/>
        <w:textAlignment w:val="bottom"/>
        <w:rPr>
          <w:rFonts w:ascii="華康仿宋體W6(P)" w:eastAsia="華康仿宋體W6(P)" w:hAnsi="華康標楷體(P)" w:cs="華康標楷體(P)" w:hint="eastAsia"/>
          <w:color w:val="000000" w:themeColor="text1"/>
          <w:sz w:val="28"/>
          <w:szCs w:val="28"/>
        </w:rPr>
      </w:pPr>
    </w:p>
    <w:p w:rsidR="006E4BEF" w:rsidRDefault="006E4BEF" w:rsidP="006E4BEF">
      <w:pPr>
        <w:widowControl/>
        <w:suppressAutoHyphens w:val="0"/>
        <w:rPr>
          <w:rFonts w:ascii="華康仿宋體W6(P)" w:eastAsia="華康仿宋體W6(P)" w:hAnsi="華康標楷體(P)" w:cs="華康標楷體(P)" w:hint="eastAsia"/>
          <w:color w:val="000000" w:themeColor="text1"/>
          <w:sz w:val="28"/>
          <w:szCs w:val="28"/>
        </w:rPr>
      </w:pPr>
      <w:r>
        <w:rPr>
          <w:rFonts w:ascii="華康仿宋體W6(P)" w:eastAsia="華康仿宋體W6(P)" w:hAnsi="華康標楷體(P)" w:cs="華康標楷體(P)" w:hint="eastAsia"/>
          <w:color w:val="000000" w:themeColor="text1"/>
          <w:sz w:val="28"/>
          <w:szCs w:val="28"/>
        </w:rPr>
        <w:br w:type="page"/>
      </w:r>
    </w:p>
    <w:p w:rsidR="00B13B28" w:rsidRPr="006E4BEF" w:rsidRDefault="00B13B28"/>
    <w:sectPr w:rsidR="00B13B28" w:rsidRPr="006E4BEF" w:rsidSect="006E4BEF">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仿宋體W6(P)">
    <w:altName w:val="Arial Unicode MS"/>
    <w:charset w:val="88"/>
    <w:family w:val="roman"/>
    <w:pitch w:val="variable"/>
    <w:sig w:usb0="00000000" w:usb1="28091800" w:usb2="00000016" w:usb3="00000000" w:csb0="00100000" w:csb1="00000000"/>
  </w:font>
  <w:font w:name="華康標楷體(P)">
    <w:altName w:val="Arial Unicode MS"/>
    <w:charset w:val="88"/>
    <w:family w:val="script"/>
    <w:pitch w:val="variable"/>
    <w:sig w:usb0="00000000" w:usb1="29DFFFFF" w:usb2="00000037" w:usb3="00000000" w:csb0="003F00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BEF"/>
    <w:rsid w:val="00665D36"/>
    <w:rsid w:val="006E4BEF"/>
    <w:rsid w:val="008B613B"/>
    <w:rsid w:val="00B13B28"/>
    <w:rsid w:val="00ED7D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BEF"/>
    <w:pPr>
      <w:widowControl w:val="0"/>
      <w:suppressAutoHyphens/>
    </w:pPr>
    <w:rPr>
      <w:rFonts w:ascii="Calibri" w:eastAsia="SimSun" w:hAnsi="Calibri" w:cs="Calibri"/>
    </w:rPr>
  </w:style>
  <w:style w:type="paragraph" w:styleId="1">
    <w:name w:val="heading 1"/>
    <w:basedOn w:val="a"/>
    <w:link w:val="10"/>
    <w:uiPriority w:val="9"/>
    <w:qFormat/>
    <w:rsid w:val="00ED7DB7"/>
    <w:pPr>
      <w:keepNext/>
      <w:autoSpaceDN w:val="0"/>
      <w:snapToGrid w:val="0"/>
      <w:spacing w:line="288" w:lineRule="auto"/>
      <w:textAlignment w:val="baseline"/>
      <w:outlineLvl w:val="0"/>
    </w:pPr>
    <w:rPr>
      <w:rFonts w:ascii="Arial" w:eastAsia="標楷體" w:hAnsi="Arial" w:cs="Times New Roman"/>
      <w:b/>
      <w:bCs/>
      <w:kern w:val="3"/>
      <w:sz w:val="32"/>
      <w:szCs w:val="52"/>
    </w:rPr>
  </w:style>
  <w:style w:type="paragraph" w:styleId="3">
    <w:name w:val="heading 3"/>
    <w:basedOn w:val="a"/>
    <w:next w:val="a"/>
    <w:link w:val="30"/>
    <w:uiPriority w:val="9"/>
    <w:unhideWhenUsed/>
    <w:qFormat/>
    <w:rsid w:val="00ED7DB7"/>
    <w:pPr>
      <w:keepNext/>
      <w:autoSpaceDN w:val="0"/>
      <w:snapToGrid w:val="0"/>
      <w:spacing w:line="288" w:lineRule="auto"/>
      <w:textAlignment w:val="baseline"/>
      <w:outlineLvl w:val="2"/>
    </w:pPr>
    <w:rPr>
      <w:rFonts w:asciiTheme="majorHAnsi" w:eastAsia="標楷體" w:hAnsiTheme="majorHAnsi" w:cstheme="majorBidi"/>
      <w:b/>
      <w:bCs/>
      <w:kern w:val="3"/>
      <w:szCs w:val="36"/>
    </w:rPr>
  </w:style>
  <w:style w:type="paragraph" w:styleId="4">
    <w:name w:val="heading 4"/>
    <w:basedOn w:val="a"/>
    <w:next w:val="a"/>
    <w:link w:val="40"/>
    <w:uiPriority w:val="9"/>
    <w:unhideWhenUsed/>
    <w:qFormat/>
    <w:rsid w:val="00ED7DB7"/>
    <w:pPr>
      <w:keepNext/>
      <w:autoSpaceDN w:val="0"/>
      <w:snapToGrid w:val="0"/>
      <w:spacing w:line="288" w:lineRule="auto"/>
      <w:textAlignment w:val="baseline"/>
      <w:outlineLvl w:val="3"/>
    </w:pPr>
    <w:rPr>
      <w:rFonts w:asciiTheme="majorHAnsi" w:eastAsia="標楷體" w:hAnsiTheme="majorHAnsi" w:cstheme="majorBidi"/>
      <w:kern w:val="3"/>
      <w:szCs w:val="36"/>
    </w:rPr>
  </w:style>
  <w:style w:type="paragraph" w:styleId="5">
    <w:name w:val="heading 5"/>
    <w:basedOn w:val="a"/>
    <w:next w:val="a"/>
    <w:link w:val="50"/>
    <w:uiPriority w:val="9"/>
    <w:unhideWhenUsed/>
    <w:qFormat/>
    <w:rsid w:val="00665D36"/>
    <w:pPr>
      <w:keepNext/>
      <w:snapToGrid w:val="0"/>
      <w:spacing w:line="288" w:lineRule="auto"/>
      <w:ind w:leftChars="200" w:left="200"/>
      <w:outlineLvl w:val="4"/>
    </w:pPr>
    <w:rPr>
      <w:rFonts w:asciiTheme="majorHAnsi" w:eastAsia="標楷體" w:hAnsiTheme="majorHAnsi" w:cstheme="majorBidi"/>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D7DB7"/>
    <w:rPr>
      <w:rFonts w:ascii="Arial" w:eastAsia="標楷體" w:hAnsi="Arial" w:cs="Times New Roman"/>
      <w:b/>
      <w:bCs/>
      <w:kern w:val="3"/>
      <w:sz w:val="32"/>
      <w:szCs w:val="52"/>
    </w:rPr>
  </w:style>
  <w:style w:type="character" w:customStyle="1" w:styleId="50">
    <w:name w:val="標題 5 字元"/>
    <w:basedOn w:val="a0"/>
    <w:link w:val="5"/>
    <w:uiPriority w:val="9"/>
    <w:rsid w:val="00665D36"/>
    <w:rPr>
      <w:rFonts w:asciiTheme="majorHAnsi" w:eastAsia="標楷體" w:hAnsiTheme="majorHAnsi" w:cstheme="majorBidi"/>
      <w:bCs/>
      <w:szCs w:val="36"/>
    </w:rPr>
  </w:style>
  <w:style w:type="character" w:customStyle="1" w:styleId="30">
    <w:name w:val="標題 3 字元"/>
    <w:basedOn w:val="a0"/>
    <w:link w:val="3"/>
    <w:uiPriority w:val="9"/>
    <w:rsid w:val="00ED7DB7"/>
    <w:rPr>
      <w:rFonts w:asciiTheme="majorHAnsi" w:eastAsia="標楷體" w:hAnsiTheme="majorHAnsi" w:cstheme="majorBidi"/>
      <w:b/>
      <w:bCs/>
      <w:kern w:val="3"/>
      <w:szCs w:val="36"/>
    </w:rPr>
  </w:style>
  <w:style w:type="character" w:customStyle="1" w:styleId="40">
    <w:name w:val="標題 4 字元"/>
    <w:basedOn w:val="a0"/>
    <w:link w:val="4"/>
    <w:uiPriority w:val="9"/>
    <w:rsid w:val="00ED7DB7"/>
    <w:rPr>
      <w:rFonts w:asciiTheme="majorHAnsi" w:eastAsia="標楷體" w:hAnsiTheme="majorHAnsi" w:cstheme="majorBidi"/>
      <w:kern w:val="3"/>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BEF"/>
    <w:pPr>
      <w:widowControl w:val="0"/>
      <w:suppressAutoHyphens/>
    </w:pPr>
    <w:rPr>
      <w:rFonts w:ascii="Calibri" w:eastAsia="SimSun" w:hAnsi="Calibri" w:cs="Calibri"/>
    </w:rPr>
  </w:style>
  <w:style w:type="paragraph" w:styleId="1">
    <w:name w:val="heading 1"/>
    <w:basedOn w:val="a"/>
    <w:link w:val="10"/>
    <w:uiPriority w:val="9"/>
    <w:qFormat/>
    <w:rsid w:val="00ED7DB7"/>
    <w:pPr>
      <w:keepNext/>
      <w:autoSpaceDN w:val="0"/>
      <w:snapToGrid w:val="0"/>
      <w:spacing w:line="288" w:lineRule="auto"/>
      <w:textAlignment w:val="baseline"/>
      <w:outlineLvl w:val="0"/>
    </w:pPr>
    <w:rPr>
      <w:rFonts w:ascii="Arial" w:eastAsia="標楷體" w:hAnsi="Arial" w:cs="Times New Roman"/>
      <w:b/>
      <w:bCs/>
      <w:kern w:val="3"/>
      <w:sz w:val="32"/>
      <w:szCs w:val="52"/>
    </w:rPr>
  </w:style>
  <w:style w:type="paragraph" w:styleId="3">
    <w:name w:val="heading 3"/>
    <w:basedOn w:val="a"/>
    <w:next w:val="a"/>
    <w:link w:val="30"/>
    <w:uiPriority w:val="9"/>
    <w:unhideWhenUsed/>
    <w:qFormat/>
    <w:rsid w:val="00ED7DB7"/>
    <w:pPr>
      <w:keepNext/>
      <w:autoSpaceDN w:val="0"/>
      <w:snapToGrid w:val="0"/>
      <w:spacing w:line="288" w:lineRule="auto"/>
      <w:textAlignment w:val="baseline"/>
      <w:outlineLvl w:val="2"/>
    </w:pPr>
    <w:rPr>
      <w:rFonts w:asciiTheme="majorHAnsi" w:eastAsia="標楷體" w:hAnsiTheme="majorHAnsi" w:cstheme="majorBidi"/>
      <w:b/>
      <w:bCs/>
      <w:kern w:val="3"/>
      <w:szCs w:val="36"/>
    </w:rPr>
  </w:style>
  <w:style w:type="paragraph" w:styleId="4">
    <w:name w:val="heading 4"/>
    <w:basedOn w:val="a"/>
    <w:next w:val="a"/>
    <w:link w:val="40"/>
    <w:uiPriority w:val="9"/>
    <w:unhideWhenUsed/>
    <w:qFormat/>
    <w:rsid w:val="00ED7DB7"/>
    <w:pPr>
      <w:keepNext/>
      <w:autoSpaceDN w:val="0"/>
      <w:snapToGrid w:val="0"/>
      <w:spacing w:line="288" w:lineRule="auto"/>
      <w:textAlignment w:val="baseline"/>
      <w:outlineLvl w:val="3"/>
    </w:pPr>
    <w:rPr>
      <w:rFonts w:asciiTheme="majorHAnsi" w:eastAsia="標楷體" w:hAnsiTheme="majorHAnsi" w:cstheme="majorBidi"/>
      <w:kern w:val="3"/>
      <w:szCs w:val="36"/>
    </w:rPr>
  </w:style>
  <w:style w:type="paragraph" w:styleId="5">
    <w:name w:val="heading 5"/>
    <w:basedOn w:val="a"/>
    <w:next w:val="a"/>
    <w:link w:val="50"/>
    <w:uiPriority w:val="9"/>
    <w:unhideWhenUsed/>
    <w:qFormat/>
    <w:rsid w:val="00665D36"/>
    <w:pPr>
      <w:keepNext/>
      <w:snapToGrid w:val="0"/>
      <w:spacing w:line="288" w:lineRule="auto"/>
      <w:ind w:leftChars="200" w:left="200"/>
      <w:outlineLvl w:val="4"/>
    </w:pPr>
    <w:rPr>
      <w:rFonts w:asciiTheme="majorHAnsi" w:eastAsia="標楷體" w:hAnsiTheme="majorHAnsi" w:cstheme="majorBidi"/>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D7DB7"/>
    <w:rPr>
      <w:rFonts w:ascii="Arial" w:eastAsia="標楷體" w:hAnsi="Arial" w:cs="Times New Roman"/>
      <w:b/>
      <w:bCs/>
      <w:kern w:val="3"/>
      <w:sz w:val="32"/>
      <w:szCs w:val="52"/>
    </w:rPr>
  </w:style>
  <w:style w:type="character" w:customStyle="1" w:styleId="50">
    <w:name w:val="標題 5 字元"/>
    <w:basedOn w:val="a0"/>
    <w:link w:val="5"/>
    <w:uiPriority w:val="9"/>
    <w:rsid w:val="00665D36"/>
    <w:rPr>
      <w:rFonts w:asciiTheme="majorHAnsi" w:eastAsia="標楷體" w:hAnsiTheme="majorHAnsi" w:cstheme="majorBidi"/>
      <w:bCs/>
      <w:szCs w:val="36"/>
    </w:rPr>
  </w:style>
  <w:style w:type="character" w:customStyle="1" w:styleId="30">
    <w:name w:val="標題 3 字元"/>
    <w:basedOn w:val="a0"/>
    <w:link w:val="3"/>
    <w:uiPriority w:val="9"/>
    <w:rsid w:val="00ED7DB7"/>
    <w:rPr>
      <w:rFonts w:asciiTheme="majorHAnsi" w:eastAsia="標楷體" w:hAnsiTheme="majorHAnsi" w:cstheme="majorBidi"/>
      <w:b/>
      <w:bCs/>
      <w:kern w:val="3"/>
      <w:szCs w:val="36"/>
    </w:rPr>
  </w:style>
  <w:style w:type="character" w:customStyle="1" w:styleId="40">
    <w:name w:val="標題 4 字元"/>
    <w:basedOn w:val="a0"/>
    <w:link w:val="4"/>
    <w:uiPriority w:val="9"/>
    <w:rsid w:val="00ED7DB7"/>
    <w:rPr>
      <w:rFonts w:asciiTheme="majorHAnsi" w:eastAsia="標楷體" w:hAnsiTheme="majorHAnsi" w:cstheme="majorBidi"/>
      <w:kern w:val="3"/>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903586">
      <w:bodyDiv w:val="1"/>
      <w:marLeft w:val="0"/>
      <w:marRight w:val="0"/>
      <w:marTop w:val="0"/>
      <w:marBottom w:val="0"/>
      <w:divBdr>
        <w:top w:val="none" w:sz="0" w:space="0" w:color="auto"/>
        <w:left w:val="none" w:sz="0" w:space="0" w:color="auto"/>
        <w:bottom w:val="none" w:sz="0" w:space="0" w:color="auto"/>
        <w:right w:val="none" w:sz="0" w:space="0" w:color="auto"/>
      </w:divBdr>
    </w:div>
    <w:div w:id="186667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2017-09-13T01:37:00Z</dcterms:created>
  <dcterms:modified xsi:type="dcterms:W3CDTF">2017-09-13T01:40:00Z</dcterms:modified>
</cp:coreProperties>
</file>