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0" w:rsidRDefault="00E11D50" w:rsidP="00E11D50">
      <w:pPr>
        <w:pStyle w:val="L-4"/>
      </w:pPr>
      <w:bookmarkStart w:id="0" w:name="_Toc12869512"/>
      <w:r>
        <w:t>3-1-2. 研究發展組</w:t>
      </w:r>
      <w:bookmarkStart w:id="1" w:name="_GoBack"/>
      <w:bookmarkEnd w:id="0"/>
      <w:bookmarkEnd w:id="1"/>
    </w:p>
    <w:p w:rsidR="00E11D50" w:rsidRDefault="00E11D50" w:rsidP="00E11D50">
      <w:pPr>
        <w:widowControl w:val="0"/>
        <w:spacing w:line="240" w:lineRule="auto"/>
        <w:ind w:leftChars="100" w:left="240"/>
        <w:rPr>
          <w:rFonts w:cs="Calibri"/>
          <w:b/>
          <w:color w:val="000000"/>
          <w:kern w:val="2"/>
          <w:sz w:val="28"/>
          <w:szCs w:val="28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05"/>
        <w:gridCol w:w="907"/>
        <w:gridCol w:w="992"/>
        <w:gridCol w:w="992"/>
        <w:gridCol w:w="993"/>
        <w:gridCol w:w="850"/>
        <w:gridCol w:w="1852"/>
      </w:tblGrid>
      <w:tr w:rsidR="00E11D50" w:rsidTr="00A020E1">
        <w:trPr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工作項目及內容</w:t>
            </w:r>
          </w:p>
        </w:tc>
        <w:tc>
          <w:tcPr>
            <w:tcW w:w="3884" w:type="dxa"/>
            <w:gridSpan w:val="4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 xml:space="preserve">權　　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責　　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劃　　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000000"/>
                <w:kern w:val="2"/>
                <w:szCs w:val="22"/>
              </w:rPr>
              <w:t>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會辦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單位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備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kern w:val="2"/>
                <w:szCs w:val="22"/>
              </w:rPr>
              <w:t>註</w:t>
            </w:r>
            <w:proofErr w:type="gramEnd"/>
          </w:p>
        </w:tc>
      </w:tr>
      <w:tr w:rsidR="00E11D50" w:rsidTr="00A020E1">
        <w:trPr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ind w:left="-1" w:firstLine="1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項目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工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color w:val="000000"/>
                <w:kern w:val="2"/>
                <w:szCs w:val="22"/>
              </w:rPr>
              <w:t>作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color w:val="000000"/>
                <w:kern w:val="2"/>
                <w:szCs w:val="22"/>
              </w:rPr>
              <w:t>內</w:t>
            </w:r>
            <w:r>
              <w:rPr>
                <w:rFonts w:cs="Calibri"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color w:val="000000"/>
                <w:kern w:val="2"/>
                <w:szCs w:val="22"/>
              </w:rPr>
              <w:t>容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第四層</w:t>
            </w:r>
          </w:p>
          <w:p w:rsidR="00E11D50" w:rsidRDefault="00E11D50" w:rsidP="00A020E1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承辦人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第三層</w:t>
            </w:r>
          </w:p>
          <w:p w:rsidR="00E11D50" w:rsidRDefault="00E11D50" w:rsidP="00E11D50">
            <w:pPr>
              <w:widowControl w:val="0"/>
              <w:spacing w:beforeLines="20" w:before="72"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w w:val="80"/>
                <w:kern w:val="2"/>
                <w:sz w:val="18"/>
                <w:szCs w:val="18"/>
              </w:rPr>
              <w:t>二級單位主管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第二層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r>
              <w:rPr>
                <w:rFonts w:cs="Calibri" w:hint="eastAsia"/>
                <w:b/>
                <w:color w:val="000000"/>
                <w:w w:val="80"/>
                <w:kern w:val="2"/>
                <w:sz w:val="18"/>
                <w:szCs w:val="18"/>
              </w:rPr>
              <w:t>一</w:t>
            </w:r>
            <w:r>
              <w:rPr>
                <w:rFonts w:cs="Calibri"/>
                <w:b/>
                <w:color w:val="000000"/>
                <w:w w:val="80"/>
                <w:kern w:val="2"/>
                <w:sz w:val="18"/>
                <w:szCs w:val="18"/>
              </w:rPr>
              <w:t>級單位主管</w:t>
            </w:r>
          </w:p>
          <w:p w:rsidR="00E11D50" w:rsidRDefault="00E11D50" w:rsidP="00A020E1">
            <w:pPr>
              <w:widowControl w:val="0"/>
              <w:spacing w:line="240" w:lineRule="exact"/>
              <w:ind w:leftChars="-50" w:left="-120" w:rightChars="-50" w:right="-120"/>
              <w:jc w:val="center"/>
              <w:rPr>
                <w:rFonts w:ascii="標楷體" w:hAnsi="標楷體" w:cs="Calibri"/>
                <w:b/>
                <w:color w:val="000000"/>
                <w:kern w:val="2"/>
                <w:sz w:val="14"/>
                <w:szCs w:val="14"/>
              </w:rPr>
            </w:pPr>
            <w:r>
              <w:rPr>
                <w:rFonts w:cs="Calibri" w:hint="eastAsia"/>
                <w:b/>
                <w:color w:val="000000"/>
                <w:w w:val="90"/>
                <w:kern w:val="2"/>
                <w:sz w:val="16"/>
                <w:szCs w:val="18"/>
              </w:rPr>
              <w:t>（學系</w:t>
            </w:r>
            <w:proofErr w:type="gramStart"/>
            <w:r>
              <w:rPr>
                <w:rFonts w:cs="Calibri" w:hint="eastAsia"/>
                <w:b/>
                <w:color w:val="000000"/>
                <w:w w:val="90"/>
                <w:kern w:val="2"/>
                <w:sz w:val="16"/>
                <w:szCs w:val="18"/>
              </w:rPr>
              <w:t>﹑</w:t>
            </w:r>
            <w:proofErr w:type="gramEnd"/>
            <w:r>
              <w:rPr>
                <w:rFonts w:cs="Calibri" w:hint="eastAsia"/>
                <w:b/>
                <w:color w:val="000000"/>
                <w:w w:val="90"/>
                <w:kern w:val="2"/>
                <w:sz w:val="16"/>
                <w:szCs w:val="18"/>
              </w:rPr>
              <w:t>學群）</w:t>
            </w:r>
            <w:r>
              <w:rPr>
                <w:rFonts w:ascii="標楷體" w:hAnsi="標楷體" w:cs="Calibri"/>
                <w:b/>
                <w:color w:val="000000"/>
                <w:kern w:val="2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E11D50">
            <w:pPr>
              <w:widowControl w:val="0"/>
              <w:spacing w:afterLines="50" w:after="180"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第一層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校長或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proofErr w:type="gramStart"/>
            <w:r>
              <w:rPr>
                <w:rFonts w:cs="Calibri"/>
                <w:b/>
                <w:color w:val="000000"/>
                <w:kern w:val="2"/>
                <w:sz w:val="16"/>
                <w:szCs w:val="14"/>
              </w:rPr>
              <w:t>授權代判人</w:t>
            </w:r>
            <w:proofErr w:type="gram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一、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專</w:t>
            </w:r>
            <w:r>
              <w:rPr>
                <w:rFonts w:cs="Calibri"/>
                <w:color w:val="000000"/>
                <w:kern w:val="2"/>
                <w:szCs w:val="22"/>
              </w:rPr>
              <w:t>題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研究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計畫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服務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窗口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proofErr w:type="gramStart"/>
            <w:r>
              <w:rPr>
                <w:rFonts w:cs="Calibri"/>
                <w:color w:val="000000"/>
                <w:kern w:val="2"/>
                <w:szCs w:val="22"/>
              </w:rPr>
              <w:t>（</w:t>
            </w:r>
            <w:proofErr w:type="gramEnd"/>
            <w:r>
              <w:rPr>
                <w:rFonts w:cs="Calibri"/>
                <w:color w:val="000000"/>
                <w:kern w:val="2"/>
                <w:szCs w:val="22"/>
              </w:rPr>
              <w:t>科技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="360"/>
              <w:jc w:val="center"/>
              <w:rPr>
                <w:rFonts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部</w:t>
            </w:r>
            <w:proofErr w:type="gramStart"/>
            <w:r>
              <w:rPr>
                <w:rFonts w:cs="Calibri"/>
                <w:color w:val="000000"/>
                <w:kern w:val="2"/>
                <w:szCs w:val="22"/>
              </w:rPr>
              <w:t>）</w:t>
            </w:r>
            <w:proofErr w:type="gramEnd"/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科技部學術研發系統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-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br/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計畫徵求、申請送件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00" w:hangingChars="150" w:hanging="30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簽訂合約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00" w:hangingChars="150" w:hanging="30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預算彙整與請款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00" w:hangingChars="150" w:hanging="30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結案與成果管理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00" w:hangingChars="150" w:hanging="30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發文送部（科技部）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二、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建教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/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產學合作計畫服務窗口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242" w:hangingChars="101" w:hanging="242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徵求產學合作廠商與承接廠商所提合作案件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合作計畫案申請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簽訂合約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預算彙整與請款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結案與成果管理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三、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技術移轉服務窗口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廠商徵求與承接案件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專門技術開發與評估。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專利申請與送件。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簽訂合約與授權。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833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四、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大學校院校務資料庫（教育部）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系統權限分配與開設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833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各單位表冊填報作業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834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五、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校務發展計畫與獎補助經費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各單位計畫提報彙整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校務發展計畫系統填報作業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獎補助款核配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執行績效分析報告撰寫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年校務發展計畫書撰寫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6.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7.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教育部經費訪視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lastRenderedPageBreak/>
              <w:t>六、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教學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發展</w:t>
            </w:r>
          </w:p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資源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師生共識營（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年一次）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00" w:hangingChars="150" w:hanging="300"/>
              <w:jc w:val="center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1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）撰寫計畫書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）經費規劃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3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</w:t>
            </w:r>
            <w:r>
              <w:rPr>
                <w:rFonts w:cs="Calibri"/>
                <w:bCs/>
                <w:color w:val="000000"/>
                <w:w w:val="90"/>
                <w:kern w:val="2"/>
                <w:szCs w:val="22"/>
              </w:rPr>
              <w:t>師生共識營活動承辦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教師心靈成長營（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1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年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3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次）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1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）法鼓山教聯會活動承接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）全國教師在職進修網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-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簡章修正與刊登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3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）各縣市政府教育局發文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4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）核發研習時數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424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七、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獎勵特殊優秀人才措施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彈性薪資案徵求（每年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次）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42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申請書收件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42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計劃書撰寫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42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召開審查會議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42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八、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全校性簡介製作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簡介架構規劃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文稿分配與撰寫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委外編排與美編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100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w w:val="90"/>
                <w:kern w:val="2"/>
                <w:szCs w:val="22"/>
              </w:rPr>
              <w:t>全校性簡介製作之定稿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262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印刷與經費核銷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532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color w:val="000000"/>
                <w:kern w:val="2"/>
                <w:sz w:val="22"/>
                <w:szCs w:val="22"/>
              </w:rPr>
              <w:t>九、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國內學術參訪與交流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國內參訪團體承接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533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導</w:t>
            </w:r>
            <w:proofErr w:type="gramStart"/>
            <w:r>
              <w:rPr>
                <w:rFonts w:cs="Calibri"/>
                <w:bCs/>
                <w:color w:val="000000"/>
                <w:kern w:val="2"/>
                <w:szCs w:val="22"/>
              </w:rPr>
              <w:t>覽</w:t>
            </w:r>
            <w:proofErr w:type="gramEnd"/>
            <w:r>
              <w:rPr>
                <w:rFonts w:cs="Calibri"/>
                <w:bCs/>
                <w:color w:val="000000"/>
                <w:kern w:val="2"/>
                <w:szCs w:val="22"/>
              </w:rPr>
              <w:t>人員與場地安排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532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編制導</w:t>
            </w:r>
            <w:proofErr w:type="gramStart"/>
            <w:r>
              <w:rPr>
                <w:rFonts w:cs="Calibri"/>
                <w:bCs/>
                <w:color w:val="000000"/>
                <w:kern w:val="2"/>
                <w:szCs w:val="22"/>
              </w:rPr>
              <w:t>覽</w:t>
            </w:r>
            <w:proofErr w:type="gramEnd"/>
            <w:r>
              <w:rPr>
                <w:rFonts w:cs="Calibri"/>
                <w:bCs/>
                <w:color w:val="000000"/>
                <w:kern w:val="2"/>
                <w:szCs w:val="22"/>
              </w:rPr>
              <w:t>手冊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trHeight w:val="533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導</w:t>
            </w:r>
            <w:proofErr w:type="gramStart"/>
            <w:r>
              <w:rPr>
                <w:rFonts w:cs="Calibri"/>
                <w:bCs/>
                <w:color w:val="000000"/>
                <w:kern w:val="2"/>
                <w:szCs w:val="22"/>
              </w:rPr>
              <w:t>覽</w:t>
            </w:r>
            <w:proofErr w:type="gramEnd"/>
            <w:r>
              <w:rPr>
                <w:rFonts w:cs="Calibri"/>
                <w:bCs/>
                <w:color w:val="000000"/>
                <w:kern w:val="2"/>
                <w:szCs w:val="22"/>
              </w:rPr>
              <w:t>員培訓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color w:val="000000"/>
                <w:kern w:val="2"/>
                <w:sz w:val="22"/>
                <w:szCs w:val="22"/>
              </w:rPr>
              <w:t>十、</w:t>
            </w:r>
          </w:p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proofErr w:type="gramStart"/>
            <w:r>
              <w:rPr>
                <w:rFonts w:cs="Calibri"/>
                <w:color w:val="000000"/>
                <w:kern w:val="2"/>
                <w:szCs w:val="22"/>
              </w:rPr>
              <w:t>評鑑與訪視</w:t>
            </w:r>
            <w:proofErr w:type="gramEnd"/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高教評鑑中心聯絡窗口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napToGrid w:val="0"/>
              <w:spacing w:line="240" w:lineRule="atLeas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校務資料彙整提供受評單位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實地訪評活動協助</w:t>
            </w:r>
          </w:p>
        </w:tc>
        <w:tc>
          <w:tcPr>
            <w:tcW w:w="907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E11D50" w:rsidTr="00A020E1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申復函報部申請作業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850" w:type="dxa"/>
            <w:shd w:val="clear" w:color="auto" w:fill="auto"/>
          </w:tcPr>
          <w:p w:rsidR="00E11D50" w:rsidRDefault="00E11D50" w:rsidP="00A020E1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11D50" w:rsidRDefault="00E11D50" w:rsidP="00A020E1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</w:tbl>
    <w:p w:rsidR="00E11D50" w:rsidRDefault="00E11D50" w:rsidP="00E11D50">
      <w:pPr>
        <w:widowControl w:val="0"/>
        <w:spacing w:line="400" w:lineRule="exact"/>
        <w:rPr>
          <w:rFonts w:cs="Calibri"/>
          <w:b/>
          <w:color w:val="000000"/>
          <w:kern w:val="2"/>
          <w:sz w:val="28"/>
          <w:szCs w:val="28"/>
        </w:rPr>
      </w:pPr>
    </w:p>
    <w:p w:rsidR="00B63DD2" w:rsidRDefault="00E11D50"/>
    <w:sectPr w:rsidR="00B63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0"/>
    <w:rsid w:val="005A56D3"/>
    <w:rsid w:val="007621A2"/>
    <w:rsid w:val="008E0D67"/>
    <w:rsid w:val="00CD702B"/>
    <w:rsid w:val="00D20097"/>
    <w:rsid w:val="00E11D50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0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widowControl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Cs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kern w:val="2"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Cs/>
      <w:kern w:val="2"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分層"/>
    <w:basedOn w:val="a"/>
    <w:link w:val="L-40"/>
    <w:autoRedefine/>
    <w:qFormat/>
    <w:rsid w:val="00E11D50"/>
    <w:pPr>
      <w:keepNext/>
      <w:adjustRightInd w:val="0"/>
      <w:spacing w:line="360" w:lineRule="exact"/>
      <w:ind w:leftChars="900" w:left="2160"/>
      <w:outlineLvl w:val="3"/>
    </w:pPr>
    <w:rPr>
      <w:rFonts w:ascii="標楷體" w:hAnsi="標楷體" w:cs="Calibri"/>
      <w:b/>
      <w:bCs/>
      <w:color w:val="4472C4"/>
      <w:sz w:val="28"/>
      <w:szCs w:val="28"/>
    </w:rPr>
  </w:style>
  <w:style w:type="character" w:customStyle="1" w:styleId="L-40">
    <w:name w:val="L-4分層 字元"/>
    <w:basedOn w:val="a0"/>
    <w:link w:val="L-4"/>
    <w:rsid w:val="00E11D50"/>
    <w:rPr>
      <w:rFonts w:ascii="標楷體" w:eastAsia="標楷體" w:hAnsi="標楷體" w:cs="Calibri"/>
      <w:b/>
      <w:bCs/>
      <w:color w:val="4472C4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0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widowControl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Cs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kern w:val="2"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Cs/>
      <w:kern w:val="2"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分層"/>
    <w:basedOn w:val="a"/>
    <w:link w:val="L-40"/>
    <w:autoRedefine/>
    <w:qFormat/>
    <w:rsid w:val="00E11D50"/>
    <w:pPr>
      <w:keepNext/>
      <w:adjustRightInd w:val="0"/>
      <w:spacing w:line="360" w:lineRule="exact"/>
      <w:ind w:leftChars="900" w:left="2160"/>
      <w:outlineLvl w:val="3"/>
    </w:pPr>
    <w:rPr>
      <w:rFonts w:ascii="標楷體" w:hAnsi="標楷體" w:cs="Calibri"/>
      <w:b/>
      <w:bCs/>
      <w:color w:val="4472C4"/>
      <w:sz w:val="28"/>
      <w:szCs w:val="28"/>
    </w:rPr>
  </w:style>
  <w:style w:type="character" w:customStyle="1" w:styleId="L-40">
    <w:name w:val="L-4分層 字元"/>
    <w:basedOn w:val="a0"/>
    <w:link w:val="L-4"/>
    <w:rsid w:val="00E11D50"/>
    <w:rPr>
      <w:rFonts w:ascii="標楷體" w:eastAsia="標楷體" w:hAnsi="標楷體" w:cs="Calibri"/>
      <w:b/>
      <w:bCs/>
      <w:color w:val="4472C4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2019-11-12T07:37:00Z</dcterms:created>
  <dcterms:modified xsi:type="dcterms:W3CDTF">2019-11-12T07:40:00Z</dcterms:modified>
</cp:coreProperties>
</file>