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25" w:rsidRPr="009D7925" w:rsidRDefault="009D7925" w:rsidP="009D7925">
      <w:pPr>
        <w:jc w:val="center"/>
        <w:rPr>
          <w:rFonts w:ascii="標楷體" w:eastAsia="標楷體" w:hAnsi="標楷體"/>
          <w:sz w:val="28"/>
          <w:shd w:val="pct15" w:color="auto" w:fill="FFFFFF"/>
        </w:rPr>
      </w:pPr>
      <w:r w:rsidRPr="009D7925">
        <w:rPr>
          <w:rFonts w:ascii="標楷體" w:eastAsia="標楷體" w:hAnsi="標楷體" w:hint="eastAsia"/>
          <w:sz w:val="28"/>
          <w:shd w:val="pct15" w:color="auto" w:fill="FFFFFF"/>
        </w:rPr>
        <w:t>研究倫理審查　Q&amp;A</w:t>
      </w:r>
    </w:p>
    <w:p w:rsidR="00DC30D3" w:rsidRPr="00DC30D3" w:rsidRDefault="00DC30D3" w:rsidP="00DC30D3">
      <w:pPr>
        <w:rPr>
          <w:rFonts w:ascii="標楷體" w:eastAsia="標楷體" w:hAnsi="標楷體"/>
        </w:rPr>
      </w:pPr>
      <w:r w:rsidRPr="00DC30D3">
        <w:rPr>
          <w:rFonts w:ascii="標楷體" w:eastAsia="標楷體" w:hAnsi="標楷體" w:hint="eastAsia"/>
          <w:b/>
          <w:shd w:val="pct15" w:color="auto" w:fill="FFFFFF"/>
        </w:rPr>
        <w:t>一、</w:t>
      </w:r>
      <w:r w:rsidRPr="00DC30D3">
        <w:rPr>
          <w:rFonts w:ascii="標楷體" w:eastAsia="標楷體" w:hAnsi="標楷體"/>
          <w:b/>
          <w:shd w:val="pct15" w:color="auto" w:fill="FFFFFF"/>
        </w:rPr>
        <w:t>學校是否承擔審查之費用？</w:t>
      </w:r>
    </w:p>
    <w:p w:rsidR="00DC30D3" w:rsidRDefault="00DC30D3" w:rsidP="00DC30D3">
      <w:pPr>
        <w:rPr>
          <w:rFonts w:ascii="標楷體" w:eastAsia="SimSun" w:hAnsi="標楷體" w:hint="eastAsia"/>
        </w:rPr>
      </w:pPr>
      <w:r>
        <w:rPr>
          <w:rFonts w:ascii="標楷體" w:eastAsia="SimSun" w:hAnsi="標楷體" w:hint="eastAsia"/>
        </w:rPr>
        <w:t>Ans</w:t>
      </w:r>
      <w:r>
        <w:rPr>
          <w:rFonts w:ascii="標楷體" w:eastAsia="SimSun" w:hAnsi="標楷體" w:hint="eastAsia"/>
        </w:rPr>
        <w:t>：</w:t>
      </w:r>
      <w:r w:rsidRPr="00DC30D3">
        <w:rPr>
          <w:rFonts w:ascii="標楷體" w:eastAsia="標楷體" w:hAnsi="標楷體" w:hint="eastAsia"/>
        </w:rPr>
        <w:t>送審查之費用為使用者(研究生)付費。</w:t>
      </w:r>
    </w:p>
    <w:p w:rsidR="00DC30D3" w:rsidRDefault="00DC30D3" w:rsidP="00DC30D3">
      <w:pPr>
        <w:rPr>
          <w:rFonts w:ascii="標楷體" w:eastAsia="SimSun" w:hAnsi="標楷體" w:hint="eastAsia"/>
        </w:rPr>
      </w:pPr>
    </w:p>
    <w:p w:rsidR="00DC30D3" w:rsidRPr="00DC30D3" w:rsidRDefault="00DC30D3" w:rsidP="00DC30D3">
      <w:pPr>
        <w:rPr>
          <w:rFonts w:ascii="標楷體" w:eastAsia="標楷體" w:hAnsi="標楷體" w:hint="eastAsia"/>
          <w:b/>
          <w:shd w:val="pct15" w:color="auto" w:fill="FFFFFF"/>
        </w:rPr>
      </w:pPr>
      <w:r w:rsidRPr="00DC30D3">
        <w:rPr>
          <w:rFonts w:ascii="標楷體" w:eastAsia="標楷體" w:hAnsi="標楷體" w:hint="eastAsia"/>
          <w:b/>
          <w:shd w:val="pct15" w:color="auto" w:fill="FFFFFF"/>
        </w:rPr>
        <w:t>二、學位論文的研究案是否需送研究倫理審查？</w:t>
      </w:r>
    </w:p>
    <w:p w:rsidR="00DC30D3" w:rsidRPr="00DC30D3" w:rsidRDefault="00DC30D3" w:rsidP="00DC30D3">
      <w:pPr>
        <w:rPr>
          <w:rFonts w:ascii="標楷體" w:eastAsia="標楷體" w:hAnsi="標楷體" w:hint="eastAsia"/>
        </w:rPr>
      </w:pPr>
      <w:r w:rsidRPr="00DC30D3">
        <w:rPr>
          <w:rFonts w:ascii="標楷體" w:eastAsia="標楷體" w:hAnsi="標楷體" w:hint="eastAsia"/>
        </w:rPr>
        <w:t>Ans：</w:t>
      </w:r>
    </w:p>
    <w:p w:rsidR="00DC30D3" w:rsidRPr="00DC30D3" w:rsidRDefault="00DC30D3" w:rsidP="00DC30D3">
      <w:pPr>
        <w:rPr>
          <w:rFonts w:ascii="標楷體" w:eastAsia="標楷體" w:hAnsi="標楷體" w:hint="eastAsia"/>
        </w:rPr>
      </w:pPr>
      <w:r w:rsidRPr="00DC30D3">
        <w:rPr>
          <w:rFonts w:ascii="標楷體" w:eastAsia="標楷體" w:hAnsi="標楷體" w:hint="eastAsia"/>
        </w:rPr>
        <w:t>1</w:t>
      </w:r>
      <w:r w:rsidRPr="00DC30D3">
        <w:rPr>
          <w:rFonts w:ascii="標楷體" w:eastAsia="標楷體" w:hAnsi="標楷體" w:hint="eastAsia"/>
        </w:rPr>
        <w:t>.</w:t>
      </w:r>
      <w:r w:rsidRPr="00DC30D3">
        <w:rPr>
          <w:rFonts w:ascii="標楷體" w:eastAsia="標楷體" w:hAnsi="標楷體" w:hint="eastAsia"/>
        </w:rPr>
        <w:t>研究案（含學位論文），若為人類(行為)研究，需於研究開始執行前，通過(IRB/REC)審查後始得為之。</w:t>
      </w:r>
    </w:p>
    <w:p w:rsidR="00DC30D3" w:rsidRPr="00DC30D3" w:rsidRDefault="00DC30D3" w:rsidP="00DC30D3">
      <w:pPr>
        <w:rPr>
          <w:rFonts w:ascii="標楷體" w:eastAsia="標楷體" w:hAnsi="標楷體" w:hint="eastAsia"/>
        </w:rPr>
      </w:pPr>
      <w:r w:rsidRPr="00DC30D3">
        <w:rPr>
          <w:rFonts w:ascii="標楷體" w:eastAsia="標楷體" w:hAnsi="標楷體" w:hint="eastAsia"/>
        </w:rPr>
        <w:t>2</w:t>
      </w:r>
      <w:r w:rsidRPr="00DC30D3">
        <w:rPr>
          <w:rFonts w:ascii="標楷體" w:eastAsia="標楷體" w:hAnsi="標楷體" w:hint="eastAsia"/>
        </w:rPr>
        <w:t>.</w:t>
      </w:r>
      <w:r w:rsidRPr="00DC30D3">
        <w:rPr>
          <w:rFonts w:ascii="標楷體" w:eastAsia="標楷體" w:hAnsi="標楷體" w:hint="eastAsia"/>
        </w:rPr>
        <w:t>依審查機構規定，指導教授為IRB/REC送審案之主持人</w:t>
      </w:r>
      <w:r w:rsidRPr="00DC30D3">
        <w:rPr>
          <w:rFonts w:ascii="標楷體" w:eastAsia="標楷體" w:hAnsi="標楷體" w:hint="eastAsia"/>
        </w:rPr>
        <w:t>。</w:t>
      </w:r>
    </w:p>
    <w:p w:rsidR="00DC30D3" w:rsidRDefault="00DC30D3">
      <w:pPr>
        <w:rPr>
          <w:rFonts w:ascii="標楷體" w:eastAsia="SimSun" w:hAnsi="標楷體" w:hint="eastAsia"/>
          <w:b/>
          <w:shd w:val="pct15" w:color="auto" w:fill="FFFFFF"/>
        </w:rPr>
      </w:pPr>
    </w:p>
    <w:p w:rsidR="00872180" w:rsidRPr="0090390E" w:rsidRDefault="00DC30D3">
      <w:pPr>
        <w:rPr>
          <w:rFonts w:ascii="標楷體" w:eastAsia="標楷體" w:hAnsi="標楷體"/>
          <w:b/>
          <w:shd w:val="pct15" w:color="auto" w:fill="FFFFFF"/>
        </w:rPr>
      </w:pPr>
      <w:r>
        <w:rPr>
          <w:rFonts w:ascii="標楷體" w:eastAsia="標楷體" w:hAnsi="標楷體" w:hint="eastAsia"/>
          <w:b/>
          <w:shd w:val="pct15" w:color="auto" w:fill="FFFFFF"/>
        </w:rPr>
        <w:t>三</w:t>
      </w:r>
      <w:r w:rsidR="00872180" w:rsidRPr="0090390E">
        <w:rPr>
          <w:rFonts w:ascii="標楷體" w:eastAsia="標楷體" w:hAnsi="標楷體" w:hint="eastAsia"/>
          <w:b/>
          <w:shd w:val="pct15" w:color="auto" w:fill="FFFFFF"/>
        </w:rPr>
        <w:t>、送審類別</w:t>
      </w:r>
      <w:r w:rsidR="009D7925">
        <w:rPr>
          <w:rFonts w:ascii="標楷體" w:eastAsia="標楷體" w:hAnsi="標楷體" w:hint="eastAsia"/>
          <w:b/>
          <w:shd w:val="pct15" w:color="auto" w:fill="FFFFFF"/>
        </w:rPr>
        <w:t>如何判斷？</w:t>
      </w:r>
    </w:p>
    <w:tbl>
      <w:tblPr>
        <w:tblStyle w:val="a3"/>
        <w:tblW w:w="0" w:type="auto"/>
        <w:tblLook w:val="04A0" w:firstRow="1" w:lastRow="0" w:firstColumn="1" w:lastColumn="0" w:noHBand="0" w:noVBand="1"/>
      </w:tblPr>
      <w:tblGrid>
        <w:gridCol w:w="1242"/>
        <w:gridCol w:w="2977"/>
        <w:gridCol w:w="11057"/>
      </w:tblGrid>
      <w:tr w:rsidR="00872180" w:rsidTr="00872180">
        <w:tc>
          <w:tcPr>
            <w:tcW w:w="1242" w:type="dxa"/>
            <w:vAlign w:val="center"/>
          </w:tcPr>
          <w:p w:rsidR="00872180" w:rsidRPr="003E4466" w:rsidRDefault="00872180" w:rsidP="00872180">
            <w:pPr>
              <w:jc w:val="center"/>
              <w:rPr>
                <w:rFonts w:ascii="標楷體" w:eastAsia="標楷體" w:hAnsi="標楷體"/>
              </w:rPr>
            </w:pPr>
            <w:r w:rsidRPr="00872180">
              <w:rPr>
                <w:rFonts w:ascii="標楷體" w:eastAsia="標楷體" w:hAnsi="標楷體" w:hint="eastAsia"/>
              </w:rPr>
              <w:t>送審類別</w:t>
            </w:r>
          </w:p>
        </w:tc>
        <w:tc>
          <w:tcPr>
            <w:tcW w:w="2977" w:type="dxa"/>
            <w:vAlign w:val="center"/>
          </w:tcPr>
          <w:p w:rsidR="00872180" w:rsidRPr="003E4466" w:rsidRDefault="00872180" w:rsidP="00872180">
            <w:pPr>
              <w:jc w:val="center"/>
              <w:rPr>
                <w:rFonts w:ascii="標楷體" w:eastAsia="標楷體" w:hAnsi="標楷體"/>
              </w:rPr>
            </w:pPr>
            <w:r>
              <w:rPr>
                <w:rFonts w:ascii="標楷體" w:eastAsia="標楷體" w:hAnsi="標楷體" w:hint="eastAsia"/>
              </w:rPr>
              <w:t>定義</w:t>
            </w:r>
          </w:p>
        </w:tc>
        <w:tc>
          <w:tcPr>
            <w:tcW w:w="11057" w:type="dxa"/>
          </w:tcPr>
          <w:p w:rsidR="00872180" w:rsidRPr="003E4466" w:rsidRDefault="00872180" w:rsidP="00872180">
            <w:pPr>
              <w:ind w:left="345" w:hanging="345"/>
              <w:jc w:val="center"/>
              <w:rPr>
                <w:rFonts w:ascii="標楷體" w:eastAsia="標楷體" w:hAnsi="標楷體"/>
              </w:rPr>
            </w:pPr>
            <w:r>
              <w:rPr>
                <w:rFonts w:ascii="標楷體" w:eastAsia="標楷體" w:hAnsi="標楷體" w:hint="eastAsia"/>
              </w:rPr>
              <w:t>詳細說明</w:t>
            </w:r>
          </w:p>
        </w:tc>
      </w:tr>
      <w:tr w:rsidR="003E4466" w:rsidTr="00872180">
        <w:tc>
          <w:tcPr>
            <w:tcW w:w="1242" w:type="dxa"/>
            <w:vAlign w:val="center"/>
          </w:tcPr>
          <w:p w:rsidR="003E4466" w:rsidRDefault="003E4466" w:rsidP="003E4466">
            <w:pPr>
              <w:jc w:val="center"/>
              <w:rPr>
                <w:rFonts w:ascii="標楷體" w:eastAsia="標楷體" w:hAnsi="標楷體"/>
              </w:rPr>
            </w:pPr>
            <w:r w:rsidRPr="003E4466">
              <w:rPr>
                <w:rFonts w:ascii="標楷體" w:eastAsia="標楷體" w:hAnsi="標楷體" w:hint="eastAsia"/>
              </w:rPr>
              <w:t>免除審查</w:t>
            </w:r>
          </w:p>
        </w:tc>
        <w:tc>
          <w:tcPr>
            <w:tcW w:w="2977" w:type="dxa"/>
            <w:vAlign w:val="center"/>
          </w:tcPr>
          <w:p w:rsidR="003E4466" w:rsidRDefault="003E4466" w:rsidP="00872180">
            <w:pPr>
              <w:jc w:val="both"/>
              <w:rPr>
                <w:rFonts w:ascii="標楷體" w:eastAsia="標楷體" w:hAnsi="標楷體"/>
              </w:rPr>
            </w:pPr>
            <w:r w:rsidRPr="003E4466">
              <w:rPr>
                <w:rFonts w:ascii="標楷體" w:eastAsia="標楷體" w:hAnsi="標楷體" w:hint="eastAsia"/>
              </w:rPr>
              <w:t>研究案件</w:t>
            </w:r>
            <w:r w:rsidRPr="00872180">
              <w:rPr>
                <w:rFonts w:ascii="標楷體" w:eastAsia="標楷體" w:hAnsi="標楷體" w:hint="eastAsia"/>
                <w:b/>
              </w:rPr>
              <w:t>非</w:t>
            </w:r>
            <w:r w:rsidRPr="003E4466">
              <w:rPr>
                <w:rFonts w:ascii="標楷體" w:eastAsia="標楷體" w:hAnsi="標楷體" w:hint="eastAsia"/>
              </w:rPr>
              <w:t>以未成年人、收容人、原住民、孕婦、身心障礙、精神病患及其他經審查會訂定或判斷受不當脅迫或無法以自由意願做決定者為研究對象,</w:t>
            </w:r>
            <w:r>
              <w:rPr>
                <w:rFonts w:ascii="標楷體" w:eastAsia="標楷體" w:hAnsi="標楷體" w:hint="eastAsia"/>
              </w:rPr>
              <w:t>且符合</w:t>
            </w:r>
            <w:r w:rsidR="00872180">
              <w:rPr>
                <w:rFonts w:ascii="標楷體" w:eastAsia="標楷體" w:hAnsi="標楷體" w:hint="eastAsia"/>
              </w:rPr>
              <w:t>右欄</w:t>
            </w:r>
            <w:r>
              <w:rPr>
                <w:rFonts w:ascii="標楷體" w:eastAsia="標楷體" w:hAnsi="標楷體" w:hint="eastAsia"/>
              </w:rPr>
              <w:t>情形之一</w:t>
            </w:r>
            <w:r w:rsidR="00872180">
              <w:rPr>
                <w:rFonts w:ascii="標楷體" w:eastAsia="標楷體" w:hAnsi="標楷體" w:hint="eastAsia"/>
              </w:rPr>
              <w:t>者。</w:t>
            </w:r>
          </w:p>
        </w:tc>
        <w:tc>
          <w:tcPr>
            <w:tcW w:w="11057" w:type="dxa"/>
          </w:tcPr>
          <w:p w:rsidR="003E4466" w:rsidRDefault="003E4466" w:rsidP="003E4466">
            <w:pPr>
              <w:ind w:left="345" w:hanging="345"/>
              <w:rPr>
                <w:rFonts w:ascii="標楷體" w:eastAsia="標楷體" w:hAnsi="標楷體"/>
              </w:rPr>
            </w:pPr>
            <w:r w:rsidRPr="003E4466">
              <w:rPr>
                <w:rFonts w:ascii="標楷體" w:eastAsia="標楷體" w:hAnsi="標楷體" w:hint="eastAsia"/>
              </w:rPr>
              <w:t>1</w:t>
            </w:r>
            <w:r>
              <w:rPr>
                <w:rFonts w:ascii="標楷體" w:eastAsia="標楷體" w:hAnsi="標楷體" w:hint="eastAsia"/>
              </w:rPr>
              <w:t xml:space="preserve">) </w:t>
            </w:r>
            <w:r w:rsidRPr="003E4466">
              <w:rPr>
                <w:rFonts w:ascii="標楷體" w:eastAsia="標楷體" w:hAnsi="標楷體" w:hint="eastAsia"/>
              </w:rPr>
              <w:t>於公開場合進行之非記名、非互動且非介入性之研究,</w:t>
            </w:r>
            <w:r>
              <w:rPr>
                <w:rFonts w:ascii="標楷體" w:eastAsia="標楷體" w:hAnsi="標楷體" w:hint="eastAsia"/>
              </w:rPr>
              <w:t>且無從自蒐集之資訊辨識特定之個人。</w:t>
            </w:r>
          </w:p>
          <w:p w:rsidR="003E4466" w:rsidRDefault="003E4466" w:rsidP="003E4466">
            <w:pPr>
              <w:ind w:left="345" w:hanging="345"/>
              <w:rPr>
                <w:rFonts w:ascii="標楷體" w:eastAsia="標楷體" w:hAnsi="標楷體"/>
              </w:rPr>
            </w:pPr>
            <w:r w:rsidRPr="003E4466">
              <w:rPr>
                <w:rFonts w:ascii="標楷體" w:eastAsia="標楷體" w:hAnsi="標楷體" w:hint="eastAsia"/>
              </w:rPr>
              <w:t>2</w:t>
            </w:r>
            <w:r>
              <w:rPr>
                <w:rFonts w:ascii="標楷體" w:eastAsia="標楷體" w:hAnsi="標楷體" w:hint="eastAsia"/>
              </w:rPr>
              <w:t xml:space="preserve">) </w:t>
            </w:r>
            <w:r w:rsidRPr="003E4466">
              <w:rPr>
                <w:rFonts w:ascii="標楷體" w:eastAsia="標楷體" w:hAnsi="標楷體" w:hint="eastAsia"/>
              </w:rPr>
              <w:t>使用已合法公開週知之資訊</w:t>
            </w:r>
            <w:r>
              <w:rPr>
                <w:rFonts w:ascii="標楷體" w:eastAsia="標楷體" w:hAnsi="標楷體" w:hint="eastAsia"/>
              </w:rPr>
              <w:t>，且資訊之使用符合其公開週知之目的。</w:t>
            </w:r>
          </w:p>
          <w:p w:rsidR="003E4466" w:rsidRDefault="003E4466" w:rsidP="003E4466">
            <w:pPr>
              <w:ind w:left="345" w:hanging="345"/>
              <w:rPr>
                <w:rFonts w:ascii="標楷體" w:eastAsia="標楷體" w:hAnsi="標楷體"/>
              </w:rPr>
            </w:pPr>
            <w:r w:rsidRPr="003E4466">
              <w:rPr>
                <w:rFonts w:ascii="標楷體" w:eastAsia="標楷體" w:hAnsi="標楷體" w:hint="eastAsia"/>
              </w:rPr>
              <w:t>3</w:t>
            </w:r>
            <w:r>
              <w:rPr>
                <w:rFonts w:ascii="標楷體" w:eastAsia="標楷體" w:hAnsi="標楷體" w:hint="eastAsia"/>
              </w:rPr>
              <w:t xml:space="preserve">) </w:t>
            </w:r>
            <w:r w:rsidRPr="003E4466">
              <w:rPr>
                <w:rFonts w:ascii="標楷體" w:eastAsia="標楷體" w:hAnsi="標楷體" w:hint="eastAsia"/>
              </w:rPr>
              <w:t>公務機</w:t>
            </w:r>
            <w:r>
              <w:rPr>
                <w:rFonts w:ascii="標楷體" w:eastAsia="標楷體" w:hAnsi="標楷體" w:hint="eastAsia"/>
              </w:rPr>
              <w:t>關執行法定職務，自行或委託專業機構進行之公共政策成效評估研究。</w:t>
            </w:r>
          </w:p>
          <w:p w:rsidR="003E4466" w:rsidRDefault="003E4466" w:rsidP="003E4466">
            <w:pPr>
              <w:ind w:left="345" w:hanging="345"/>
              <w:rPr>
                <w:rFonts w:ascii="標楷體" w:eastAsia="標楷體" w:hAnsi="標楷體"/>
              </w:rPr>
            </w:pPr>
            <w:r w:rsidRPr="003E4466">
              <w:rPr>
                <w:rFonts w:ascii="標楷體" w:eastAsia="標楷體" w:hAnsi="標楷體" w:hint="eastAsia"/>
              </w:rPr>
              <w:t>4</w:t>
            </w:r>
            <w:r>
              <w:rPr>
                <w:rFonts w:ascii="標楷體" w:eastAsia="標楷體" w:hAnsi="標楷體" w:hint="eastAsia"/>
              </w:rPr>
              <w:t xml:space="preserve">) </w:t>
            </w:r>
            <w:r w:rsidRPr="003E4466">
              <w:rPr>
                <w:rFonts w:ascii="標楷體" w:eastAsia="標楷體" w:hAnsi="標楷體" w:hint="eastAsia"/>
              </w:rPr>
              <w:t>於</w:t>
            </w:r>
            <w:r>
              <w:rPr>
                <w:rFonts w:ascii="標楷體" w:eastAsia="標楷體" w:hAnsi="標楷體" w:hint="eastAsia"/>
              </w:rPr>
              <w:t>一般教學環境中進行之教育評量或測試、教學技巧或成效評估之研究。</w:t>
            </w:r>
          </w:p>
          <w:p w:rsidR="003E4466" w:rsidRPr="003E4466" w:rsidRDefault="003E4466" w:rsidP="003E4466">
            <w:pPr>
              <w:ind w:left="345" w:hanging="345"/>
              <w:rPr>
                <w:rFonts w:ascii="標楷體" w:eastAsia="標楷體" w:hAnsi="標楷體"/>
              </w:rPr>
            </w:pPr>
            <w:r w:rsidRPr="003E4466">
              <w:rPr>
                <w:rFonts w:ascii="標楷體" w:eastAsia="標楷體" w:hAnsi="標楷體" w:hint="eastAsia"/>
              </w:rPr>
              <w:t>5</w:t>
            </w:r>
            <w:r>
              <w:rPr>
                <w:rFonts w:ascii="標楷體" w:eastAsia="標楷體" w:hAnsi="標楷體" w:hint="eastAsia"/>
              </w:rPr>
              <w:t xml:space="preserve">) </w:t>
            </w:r>
            <w:r w:rsidRPr="003E4466">
              <w:rPr>
                <w:rFonts w:ascii="標楷體" w:eastAsia="標楷體" w:hAnsi="標楷體" w:hint="eastAsia"/>
              </w:rPr>
              <w:t>研究計畫屬最低風險，且其研究對象所遭受之風險不高於未參加該研究者，經倫理審查委員會評估得免審查並核發免審證明。前項最低風險，係指研究對象所遭受之危害或不適的機率或強度，不高於日生活中遭受的危害或不適。</w:t>
            </w:r>
          </w:p>
        </w:tc>
      </w:tr>
      <w:tr w:rsidR="003E4466" w:rsidTr="00872180">
        <w:tc>
          <w:tcPr>
            <w:tcW w:w="1242" w:type="dxa"/>
            <w:vAlign w:val="center"/>
          </w:tcPr>
          <w:p w:rsidR="003E4466" w:rsidRDefault="003E4466" w:rsidP="003E4466">
            <w:pPr>
              <w:jc w:val="center"/>
              <w:rPr>
                <w:rFonts w:ascii="標楷體" w:eastAsia="標楷體" w:hAnsi="標楷體"/>
              </w:rPr>
            </w:pPr>
            <w:r w:rsidRPr="003E4466">
              <w:rPr>
                <w:rFonts w:ascii="標楷體" w:eastAsia="標楷體" w:hAnsi="標楷體" w:hint="eastAsia"/>
              </w:rPr>
              <w:t>簡易審查</w:t>
            </w:r>
            <w:r>
              <w:rPr>
                <w:rFonts w:ascii="標楷體" w:eastAsia="標楷體" w:hAnsi="標楷體"/>
              </w:rPr>
              <w:br/>
            </w:r>
            <w:r w:rsidRPr="003E4466">
              <w:rPr>
                <w:rFonts w:ascii="標楷體" w:eastAsia="標楷體" w:hAnsi="標楷體" w:hint="eastAsia"/>
                <w:sz w:val="20"/>
              </w:rPr>
              <w:t>(微小風險)</w:t>
            </w:r>
          </w:p>
        </w:tc>
        <w:tc>
          <w:tcPr>
            <w:tcW w:w="2977" w:type="dxa"/>
            <w:vAlign w:val="center"/>
          </w:tcPr>
          <w:p w:rsidR="003E4466" w:rsidRPr="003E4466" w:rsidRDefault="003E4466" w:rsidP="00872180">
            <w:pPr>
              <w:jc w:val="both"/>
              <w:rPr>
                <w:rFonts w:ascii="標楷體" w:eastAsia="標楷體" w:hAnsi="標楷體"/>
              </w:rPr>
            </w:pPr>
            <w:r w:rsidRPr="003E4466">
              <w:rPr>
                <w:rFonts w:ascii="標楷體" w:eastAsia="標楷體" w:hAnsi="標楷體" w:hint="eastAsia"/>
              </w:rPr>
              <w:t>凡研究活動</w:t>
            </w:r>
            <w:r w:rsidRPr="00872180">
              <w:rPr>
                <w:rFonts w:ascii="標楷體" w:eastAsia="標楷體" w:hAnsi="標楷體" w:hint="eastAsia"/>
                <w:b/>
              </w:rPr>
              <w:t>非</w:t>
            </w:r>
            <w:r w:rsidRPr="003E4466">
              <w:rPr>
                <w:rFonts w:ascii="標楷體" w:eastAsia="標楷體" w:hAnsi="標楷體" w:hint="eastAsia"/>
              </w:rPr>
              <w:t>使用藥物，侵入性檢查及治療，僅涉及最小的風險及符合下列範疇之一項或多項時，即符合簡易審查條件。</w:t>
            </w:r>
          </w:p>
        </w:tc>
        <w:tc>
          <w:tcPr>
            <w:tcW w:w="11057" w:type="dxa"/>
          </w:tcPr>
          <w:p w:rsidR="00872180" w:rsidRDefault="00872180" w:rsidP="00872180">
            <w:pPr>
              <w:rPr>
                <w:rFonts w:ascii="標楷體" w:eastAsia="標楷體" w:hAnsi="標楷體"/>
              </w:rPr>
            </w:pPr>
            <w:r w:rsidRPr="003E4466">
              <w:rPr>
                <w:rFonts w:ascii="標楷體" w:eastAsia="標楷體" w:hAnsi="標楷體" w:hint="eastAsia"/>
              </w:rPr>
              <w:t>1</w:t>
            </w:r>
            <w:r>
              <w:rPr>
                <w:rFonts w:ascii="標楷體" w:eastAsia="標楷體" w:hAnsi="標楷體" w:hint="eastAsia"/>
              </w:rPr>
              <w:t>)</w:t>
            </w:r>
            <w:r w:rsidRPr="003E4466">
              <w:rPr>
                <w:rFonts w:ascii="標楷體" w:eastAsia="標楷體" w:hAnsi="標楷體" w:hint="eastAsia"/>
              </w:rPr>
              <w:t xml:space="preserve"> 研究個人或群體的特質或行為</w:t>
            </w:r>
            <w:r w:rsidRPr="00872180">
              <w:rPr>
                <w:rFonts w:ascii="標楷體" w:eastAsia="標楷體" w:hAnsi="標楷體" w:hint="eastAsia"/>
                <w:sz w:val="20"/>
              </w:rPr>
              <w:t>(例如感覺、認知、動機、認同、語言、溝通、文化信仰或習慣和社會行為等)</w:t>
            </w:r>
            <w:r w:rsidRPr="003E4466">
              <w:rPr>
                <w:rFonts w:ascii="標楷體" w:eastAsia="標楷體" w:hAnsi="標楷體" w:hint="eastAsia"/>
              </w:rPr>
              <w:t>，或研究涉及調查，訪談，口述歷史，特定族群，計畫評估，人為因素評估或品質保證方法等。可能影響受試者工作、保險、財務及社會關係之資料進行之研究。</w:t>
            </w:r>
          </w:p>
          <w:p w:rsidR="00872180" w:rsidRPr="00872180" w:rsidRDefault="00872180" w:rsidP="00872180">
            <w:pPr>
              <w:rPr>
                <w:rFonts w:ascii="標楷體" w:eastAsia="標楷體" w:hAnsi="標楷體"/>
              </w:rPr>
            </w:pPr>
            <w:r>
              <w:rPr>
                <w:rFonts w:ascii="標楷體" w:eastAsia="標楷體" w:hAnsi="標楷體" w:hint="eastAsia"/>
              </w:rPr>
              <w:t xml:space="preserve">2) </w:t>
            </w:r>
            <w:r w:rsidRPr="003E4466">
              <w:rPr>
                <w:rFonts w:ascii="標楷體" w:eastAsia="標楷體" w:hAnsi="標楷體" w:hint="eastAsia"/>
              </w:rPr>
              <w:t>以研究為目的所蒐集之錄音、錄影或影像資料。但不含可辨識或可能影響研究對象工作、保險、財務及社會關係之資料。</w:t>
            </w:r>
          </w:p>
          <w:p w:rsidR="00872180" w:rsidRDefault="00872180" w:rsidP="00872180">
            <w:pPr>
              <w:rPr>
                <w:rFonts w:ascii="標楷體" w:eastAsia="標楷體" w:hAnsi="標楷體"/>
              </w:rPr>
            </w:pPr>
            <w:r>
              <w:rPr>
                <w:rFonts w:ascii="標楷體" w:eastAsia="標楷體" w:hAnsi="標楷體" w:hint="eastAsia"/>
              </w:rPr>
              <w:t xml:space="preserve">3) </w:t>
            </w:r>
            <w:r w:rsidRPr="003E4466">
              <w:rPr>
                <w:rFonts w:ascii="標楷體" w:eastAsia="標楷體" w:hAnsi="標楷體" w:hint="eastAsia"/>
              </w:rPr>
              <w:t>自成年人，採集手指、腳跟、耳朵或靜脈血液，</w:t>
            </w:r>
            <w:r>
              <w:rPr>
                <w:rFonts w:ascii="標楷體" w:eastAsia="標楷體" w:hAnsi="標楷體" w:hint="eastAsia"/>
              </w:rPr>
              <w:t>每週採血不超過二次</w:t>
            </w:r>
            <w:r w:rsidRPr="003E4466">
              <w:rPr>
                <w:rFonts w:ascii="標楷體" w:eastAsia="標楷體" w:hAnsi="標楷體" w:hint="eastAsia"/>
              </w:rPr>
              <w:t>且每次採血不超過 20 毫升。</w:t>
            </w:r>
          </w:p>
          <w:p w:rsidR="00872180" w:rsidRDefault="00872180" w:rsidP="00872180">
            <w:pPr>
              <w:rPr>
                <w:rFonts w:ascii="標楷體" w:eastAsia="標楷體" w:hAnsi="標楷體"/>
              </w:rPr>
            </w:pPr>
            <w:r>
              <w:rPr>
                <w:rFonts w:ascii="標楷體" w:eastAsia="標楷體" w:hAnsi="標楷體" w:hint="eastAsia"/>
              </w:rPr>
              <w:t>4)</w:t>
            </w:r>
            <w:r w:rsidRPr="003E4466">
              <w:rPr>
                <w:rFonts w:ascii="標楷體" w:eastAsia="標楷體" w:hAnsi="標楷體" w:hint="eastAsia"/>
              </w:rPr>
              <w:t>以非侵入性方法採集研究用人體檢體</w:t>
            </w:r>
            <w:r>
              <w:rPr>
                <w:rFonts w:ascii="標楷體" w:eastAsia="標楷體" w:hAnsi="標楷體" w:hint="eastAsia"/>
              </w:rPr>
              <w:t>。</w:t>
            </w:r>
          </w:p>
          <w:p w:rsidR="00872180" w:rsidRPr="003E4466" w:rsidRDefault="00872180" w:rsidP="00872180">
            <w:pPr>
              <w:rPr>
                <w:rFonts w:ascii="標楷體" w:eastAsia="標楷體" w:hAnsi="標楷體"/>
              </w:rPr>
            </w:pPr>
            <w:r>
              <w:rPr>
                <w:rFonts w:ascii="標楷體" w:eastAsia="標楷體" w:hAnsi="標楷體" w:hint="eastAsia"/>
              </w:rPr>
              <w:lastRenderedPageBreak/>
              <w:t>5)</w:t>
            </w:r>
            <w:r w:rsidRPr="003E4466">
              <w:rPr>
                <w:rFonts w:ascii="標楷體" w:eastAsia="標楷體" w:hAnsi="標楷體" w:hint="eastAsia"/>
              </w:rPr>
              <w:t>使用下列非侵入性方法收集資料。使用之醫療器材，須經中央主管機關核准上市，且不包括使用游離輻射、微波、全身麻醉或鎮靜劑等方式，</w:t>
            </w:r>
            <w:r w:rsidRPr="003E4466">
              <w:rPr>
                <w:rFonts w:ascii="標楷體" w:eastAsia="標楷體" w:hAnsi="標楷體"/>
              </w:rPr>
              <w:t xml:space="preserve"> </w:t>
            </w:r>
          </w:p>
          <w:p w:rsidR="003E4466" w:rsidRPr="00872180" w:rsidRDefault="00872180" w:rsidP="00872180">
            <w:pPr>
              <w:rPr>
                <w:rFonts w:ascii="標楷體" w:eastAsia="標楷體" w:hAnsi="標楷體"/>
              </w:rPr>
            </w:pPr>
            <w:r>
              <w:rPr>
                <w:rFonts w:ascii="標楷體" w:eastAsia="標楷體" w:hAnsi="標楷體" w:hint="eastAsia"/>
              </w:rPr>
              <w:t>6)</w:t>
            </w:r>
            <w:r w:rsidRPr="003E4466">
              <w:rPr>
                <w:rFonts w:ascii="標楷體" w:eastAsia="標楷體" w:hAnsi="標楷體" w:hint="eastAsia"/>
              </w:rPr>
              <w:t>使用臨床常規治療或診斷之病歷，含個案報告之研究。</w:t>
            </w:r>
            <w:r w:rsidRPr="00872180">
              <w:rPr>
                <w:rFonts w:ascii="標楷體" w:eastAsia="標楷體" w:hAnsi="標楷體" w:hint="eastAsia"/>
              </w:rPr>
              <w:t xml:space="preserve"> </w:t>
            </w:r>
          </w:p>
        </w:tc>
      </w:tr>
      <w:tr w:rsidR="003E4466" w:rsidTr="00872180">
        <w:tc>
          <w:tcPr>
            <w:tcW w:w="1242" w:type="dxa"/>
            <w:vAlign w:val="center"/>
          </w:tcPr>
          <w:p w:rsidR="003E4466" w:rsidRPr="003E4466" w:rsidRDefault="003E4466" w:rsidP="003E4466">
            <w:pPr>
              <w:jc w:val="center"/>
              <w:rPr>
                <w:rFonts w:ascii="標楷體" w:eastAsia="標楷體" w:hAnsi="標楷體"/>
              </w:rPr>
            </w:pPr>
            <w:r w:rsidRPr="003E4466">
              <w:rPr>
                <w:rFonts w:ascii="標楷體" w:eastAsia="標楷體" w:hAnsi="標楷體" w:hint="eastAsia"/>
              </w:rPr>
              <w:lastRenderedPageBreak/>
              <w:t>一般審查</w:t>
            </w:r>
          </w:p>
        </w:tc>
        <w:tc>
          <w:tcPr>
            <w:tcW w:w="2977" w:type="dxa"/>
            <w:vAlign w:val="center"/>
          </w:tcPr>
          <w:p w:rsidR="003E4466" w:rsidRDefault="00872180" w:rsidP="00872180">
            <w:pPr>
              <w:jc w:val="both"/>
              <w:rPr>
                <w:rFonts w:ascii="標楷體" w:eastAsia="標楷體" w:hAnsi="標楷體"/>
              </w:rPr>
            </w:pPr>
            <w:r>
              <w:rPr>
                <w:rFonts w:ascii="標楷體" w:eastAsia="標楷體" w:hAnsi="標楷體" w:hint="eastAsia"/>
              </w:rPr>
              <w:t>符合右欄情形之一者。</w:t>
            </w:r>
          </w:p>
        </w:tc>
        <w:tc>
          <w:tcPr>
            <w:tcW w:w="11057" w:type="dxa"/>
          </w:tcPr>
          <w:p w:rsidR="003E4466" w:rsidRDefault="003E4466" w:rsidP="003E4466">
            <w:pPr>
              <w:ind w:left="345" w:hanging="345"/>
              <w:rPr>
                <w:rFonts w:ascii="標楷體" w:eastAsia="標楷體" w:hAnsi="標楷體"/>
              </w:rPr>
            </w:pPr>
            <w:r w:rsidRPr="003E4466">
              <w:rPr>
                <w:rFonts w:ascii="標楷體" w:eastAsia="標楷體" w:hAnsi="標楷體" w:hint="eastAsia"/>
              </w:rPr>
              <w:t>1</w:t>
            </w:r>
            <w:r>
              <w:rPr>
                <w:rFonts w:ascii="標楷體" w:eastAsia="標楷體" w:hAnsi="標楷體" w:hint="eastAsia"/>
              </w:rPr>
              <w:t xml:space="preserve">) </w:t>
            </w:r>
            <w:r w:rsidRPr="003E4466">
              <w:rPr>
                <w:rFonts w:ascii="標楷體" w:eastAsia="標楷體" w:hAnsi="標楷體" w:hint="eastAsia"/>
              </w:rPr>
              <w:t>人體生物資料庫管理條例所稱生物醫學研究。以未成年人、受刑人、原住民、孕婦、身心障礙、精神病患及其他經</w:t>
            </w:r>
            <w:r>
              <w:rPr>
                <w:rFonts w:ascii="標楷體" w:eastAsia="標楷體" w:hAnsi="標楷體" w:hint="eastAsia"/>
              </w:rPr>
              <w:t>審查會訂定或判斷易受不當脅迫或難以自由意願做決定者為研究對象。</w:t>
            </w:r>
          </w:p>
          <w:p w:rsidR="003E4466" w:rsidRDefault="003E4466" w:rsidP="003E4466">
            <w:pPr>
              <w:ind w:left="345" w:hanging="345"/>
              <w:rPr>
                <w:rFonts w:ascii="標楷體" w:eastAsia="標楷體" w:hAnsi="標楷體"/>
              </w:rPr>
            </w:pPr>
            <w:r w:rsidRPr="003E4466">
              <w:rPr>
                <w:rFonts w:ascii="標楷體" w:eastAsia="標楷體" w:hAnsi="標楷體" w:hint="eastAsia"/>
              </w:rPr>
              <w:t>2</w:t>
            </w:r>
            <w:r>
              <w:rPr>
                <w:rFonts w:ascii="標楷體" w:eastAsia="標楷體" w:hAnsi="標楷體" w:hint="eastAsia"/>
              </w:rPr>
              <w:t xml:space="preserve">) </w:t>
            </w:r>
            <w:r w:rsidRPr="003E4466">
              <w:rPr>
                <w:rFonts w:ascii="標楷體" w:eastAsia="標楷體" w:hAnsi="標楷體" w:hint="eastAsia"/>
              </w:rPr>
              <w:t>使用人類後天性免疫不全病毒（HIV）陽性患者病歷進行之研究。</w:t>
            </w:r>
          </w:p>
          <w:p w:rsidR="003E4466" w:rsidRDefault="003E4466" w:rsidP="003E4466">
            <w:pPr>
              <w:ind w:left="345" w:hanging="345"/>
              <w:rPr>
                <w:rFonts w:ascii="標楷體" w:eastAsia="標楷體" w:hAnsi="標楷體"/>
              </w:rPr>
            </w:pPr>
            <w:r w:rsidRPr="003E4466">
              <w:rPr>
                <w:rFonts w:ascii="標楷體" w:eastAsia="標楷體" w:hAnsi="標楷體" w:hint="eastAsia"/>
              </w:rPr>
              <w:t>3</w:t>
            </w:r>
            <w:r>
              <w:rPr>
                <w:rFonts w:ascii="標楷體" w:eastAsia="標楷體" w:hAnsi="標楷體" w:hint="eastAsia"/>
              </w:rPr>
              <w:t xml:space="preserve">) </w:t>
            </w:r>
            <w:r w:rsidRPr="003E4466">
              <w:rPr>
                <w:rFonts w:ascii="標楷體" w:eastAsia="標楷體" w:hAnsi="標楷體" w:hint="eastAsia"/>
              </w:rPr>
              <w:t>使用可辨識及可能影響受試者工作、保險、財務及社會關係之資料進行之研究。</w:t>
            </w:r>
          </w:p>
          <w:p w:rsidR="003E4466" w:rsidRDefault="003E4466" w:rsidP="003E4466">
            <w:pPr>
              <w:ind w:left="345" w:hanging="345"/>
              <w:rPr>
                <w:rFonts w:ascii="標楷體" w:eastAsia="標楷體" w:hAnsi="標楷體"/>
              </w:rPr>
            </w:pPr>
            <w:r w:rsidRPr="003E4466">
              <w:rPr>
                <w:rFonts w:ascii="標楷體" w:eastAsia="標楷體" w:hAnsi="標楷體" w:hint="eastAsia"/>
              </w:rPr>
              <w:t>4</w:t>
            </w:r>
            <w:r>
              <w:rPr>
                <w:rFonts w:ascii="標楷體" w:eastAsia="標楷體" w:hAnsi="標楷體" w:hint="eastAsia"/>
              </w:rPr>
              <w:t xml:space="preserve">) </w:t>
            </w:r>
            <w:r w:rsidRPr="003E4466">
              <w:rPr>
                <w:rFonts w:ascii="標楷體" w:eastAsia="標楷體" w:hAnsi="標楷體" w:hint="eastAsia"/>
              </w:rPr>
              <w:t>具有造成個人或族群歧視之潛在可能之研究。</w:t>
            </w:r>
          </w:p>
        </w:tc>
      </w:tr>
    </w:tbl>
    <w:p w:rsidR="003E4466" w:rsidRDefault="003E4466" w:rsidP="003E4466">
      <w:pPr>
        <w:rPr>
          <w:rFonts w:ascii="標楷體" w:eastAsia="標楷體" w:hAnsi="標楷體"/>
        </w:rPr>
      </w:pPr>
    </w:p>
    <w:p w:rsidR="00DC30D3" w:rsidRPr="00233CB6" w:rsidRDefault="00DC30D3" w:rsidP="003E4466">
      <w:pPr>
        <w:rPr>
          <w:rFonts w:ascii="標楷體" w:eastAsia="標楷體" w:hAnsi="標楷體" w:hint="eastAsia"/>
          <w:b/>
          <w:shd w:val="pct15" w:color="auto" w:fill="FFFFFF"/>
        </w:rPr>
      </w:pPr>
      <w:r w:rsidRPr="00233CB6">
        <w:rPr>
          <w:rFonts w:ascii="標楷體" w:eastAsia="標楷體" w:hAnsi="標楷體" w:hint="eastAsia"/>
          <w:b/>
          <w:shd w:val="pct15" w:color="auto" w:fill="FFFFFF"/>
        </w:rPr>
        <w:t>四、</w:t>
      </w:r>
    </w:p>
    <w:p w:rsidR="00DC30D3" w:rsidRDefault="00DC30D3" w:rsidP="003E4466">
      <w:pPr>
        <w:rPr>
          <w:rFonts w:ascii="標楷體" w:eastAsia="SimSun" w:hAnsi="標楷體" w:hint="eastAsia"/>
          <w:lang w:eastAsia="zh-CN"/>
        </w:rPr>
      </w:pPr>
      <w:r w:rsidRPr="00233CB6">
        <w:rPr>
          <w:rFonts w:ascii="標楷體" w:eastAsia="標楷體" w:hAnsi="標楷體"/>
        </w:rPr>
        <w:t>研發組將每學期辦理「研究倫理相關教育訓練」課程，以方便校內師生取得送審所需的教育訓練時數證明。</w:t>
      </w:r>
    </w:p>
    <w:p w:rsidR="00233CB6" w:rsidRDefault="00233CB6" w:rsidP="003E4466">
      <w:pPr>
        <w:rPr>
          <w:rFonts w:ascii="標楷體" w:eastAsia="SimSun" w:hAnsi="標楷體" w:hint="eastAsia"/>
          <w:lang w:eastAsia="zh-CN"/>
        </w:rPr>
      </w:pPr>
    </w:p>
    <w:p w:rsidR="00233CB6" w:rsidRDefault="00233CB6" w:rsidP="003E4466">
      <w:pPr>
        <w:rPr>
          <w:rFonts w:ascii="標楷體" w:eastAsia="SimSun" w:hAnsi="標楷體" w:hint="eastAsia"/>
          <w:b/>
          <w:shd w:val="pct15" w:color="auto" w:fill="FFFFFF"/>
          <w:lang w:eastAsia="zh-CN"/>
        </w:rPr>
      </w:pPr>
      <w:r>
        <w:rPr>
          <w:rFonts w:ascii="標楷體" w:eastAsia="標楷體" w:hAnsi="標楷體" w:hint="eastAsia"/>
          <w:b/>
          <w:shd w:val="pct15" w:color="auto" w:fill="FFFFFF"/>
        </w:rPr>
        <w:t>五</w:t>
      </w:r>
      <w:r w:rsidRPr="00233CB6">
        <w:rPr>
          <w:rFonts w:ascii="標楷體" w:eastAsia="標楷體" w:hAnsi="標楷體" w:hint="eastAsia"/>
          <w:b/>
          <w:shd w:val="pct15" w:color="auto" w:fill="FFFFFF"/>
        </w:rPr>
        <w:t>、</w:t>
      </w:r>
      <w:r w:rsidRPr="00233CB6">
        <w:rPr>
          <w:rFonts w:ascii="標楷體" w:eastAsia="標楷體" w:hAnsi="標楷體" w:hint="eastAsia"/>
          <w:b/>
          <w:shd w:val="pct15" w:color="auto" w:fill="FFFFFF"/>
        </w:rPr>
        <w:t>合作學校研究倫理審查時間</w:t>
      </w:r>
    </w:p>
    <w:p w:rsidR="00233CB6" w:rsidRPr="00233CB6" w:rsidRDefault="00233CB6" w:rsidP="003E4466">
      <w:pPr>
        <w:rPr>
          <w:rFonts w:ascii="標楷體" w:eastAsia="SimSun" w:hAnsi="標楷體" w:hint="eastAsia"/>
          <w:b/>
          <w:shd w:val="pct15" w:color="auto" w:fill="FFFFFF"/>
          <w:lang w:eastAsia="zh-CN"/>
        </w:rPr>
      </w:pPr>
      <w:bookmarkStart w:id="0" w:name="_GoBack"/>
      <w:bookmarkEnd w:id="0"/>
    </w:p>
    <w:p w:rsidR="00233CB6" w:rsidRPr="00233CB6" w:rsidRDefault="00233CB6" w:rsidP="00233CB6">
      <w:pPr>
        <w:ind w:left="960" w:firstLine="480"/>
        <w:rPr>
          <w:rFonts w:ascii="標楷體" w:eastAsia="標楷體" w:hAnsi="標楷體"/>
        </w:rPr>
      </w:pPr>
      <w:r w:rsidRPr="00233CB6">
        <w:rPr>
          <w:rFonts w:ascii="標楷體" w:eastAsia="標楷體" w:hAnsi="標楷體" w:hint="eastAsia"/>
        </w:rPr>
        <w:t>109學年本校合作學校之研究倫理委員會預計審查日期</w:t>
      </w:r>
    </w:p>
    <w:tbl>
      <w:tblPr>
        <w:tblW w:w="9371" w:type="dxa"/>
        <w:tblCellMar>
          <w:left w:w="28" w:type="dxa"/>
          <w:right w:w="28" w:type="dxa"/>
        </w:tblCellMar>
        <w:tblLook w:val="04A0" w:firstRow="1" w:lastRow="0" w:firstColumn="1" w:lastColumn="0" w:noHBand="0" w:noVBand="1"/>
      </w:tblPr>
      <w:tblGrid>
        <w:gridCol w:w="1716"/>
        <w:gridCol w:w="3119"/>
        <w:gridCol w:w="1843"/>
        <w:gridCol w:w="2693"/>
      </w:tblGrid>
      <w:tr w:rsidR="00233CB6" w:rsidRPr="00233CB6" w:rsidTr="00233CB6">
        <w:trPr>
          <w:trHeight w:val="82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rPr>
                <w:rFonts w:ascii="標楷體" w:eastAsia="標楷體" w:hAnsi="標楷體" w:cs="新細明體"/>
                <w:color w:val="000000"/>
                <w:kern w:val="0"/>
                <w:szCs w:val="24"/>
              </w:rPr>
            </w:pP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台灣師範大學</w:t>
            </w:r>
            <w:r w:rsidRPr="00233CB6">
              <w:rPr>
                <w:rFonts w:ascii="標楷體" w:eastAsia="標楷體" w:hAnsi="標楷體" w:cs="新細明體"/>
                <w:color w:val="000000"/>
                <w:kern w:val="0"/>
                <w:szCs w:val="24"/>
              </w:rPr>
              <w:br/>
            </w:r>
            <w:r w:rsidRPr="00233CB6">
              <w:rPr>
                <w:rFonts w:ascii="標楷體" w:eastAsia="標楷體" w:hAnsi="標楷體" w:cs="新細明體" w:hint="eastAsia"/>
                <w:color w:val="000000"/>
                <w:kern w:val="0"/>
                <w:szCs w:val="24"/>
              </w:rPr>
              <w:t>研究倫理中心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33CB6" w:rsidRPr="00233CB6" w:rsidRDefault="00233CB6" w:rsidP="00233CB6">
            <w:pPr>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輔仁大學</w:t>
            </w:r>
            <w:r w:rsidRPr="00233CB6">
              <w:rPr>
                <w:rFonts w:ascii="標楷體" w:eastAsia="標楷體" w:hAnsi="標楷體" w:cs="新細明體"/>
                <w:color w:val="000000"/>
                <w:kern w:val="0"/>
                <w:szCs w:val="24"/>
              </w:rPr>
              <w:br/>
            </w:r>
            <w:r w:rsidRPr="00233CB6">
              <w:rPr>
                <w:rFonts w:ascii="標楷體" w:eastAsia="標楷體" w:hAnsi="標楷體" w:cs="新細明體" w:hint="eastAsia"/>
                <w:color w:val="000000"/>
                <w:kern w:val="0"/>
                <w:szCs w:val="24"/>
              </w:rPr>
              <w:t>研究倫理中心</w:t>
            </w:r>
          </w:p>
        </w:tc>
        <w:tc>
          <w:tcPr>
            <w:tcW w:w="2693" w:type="dxa"/>
            <w:tcBorders>
              <w:top w:val="single" w:sz="4" w:space="0" w:color="auto"/>
              <w:left w:val="nil"/>
              <w:bottom w:val="single" w:sz="4" w:space="0" w:color="auto"/>
              <w:right w:val="single" w:sz="4" w:space="0" w:color="auto"/>
            </w:tcBorders>
            <w:vAlign w:val="center"/>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臺灣大學</w:t>
            </w:r>
            <w:r w:rsidRPr="00233CB6">
              <w:rPr>
                <w:rFonts w:ascii="標楷體" w:eastAsia="標楷體" w:hAnsi="標楷體" w:cs="新細明體"/>
                <w:color w:val="000000"/>
                <w:kern w:val="0"/>
                <w:szCs w:val="24"/>
              </w:rPr>
              <w:br/>
            </w:r>
            <w:r w:rsidRPr="00233CB6">
              <w:rPr>
                <w:rFonts w:ascii="標楷體" w:eastAsia="標楷體" w:hAnsi="標楷體" w:cs="新細明體" w:hint="eastAsia"/>
                <w:color w:val="000000"/>
                <w:kern w:val="0"/>
                <w:szCs w:val="24"/>
              </w:rPr>
              <w:t>研究倫理中心</w:t>
            </w: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109年8月</w:t>
            </w:r>
          </w:p>
        </w:tc>
        <w:tc>
          <w:tcPr>
            <w:tcW w:w="3119"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109.8.21</w:t>
            </w:r>
          </w:p>
        </w:tc>
        <w:tc>
          <w:tcPr>
            <w:tcW w:w="1843"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 xml:space="preserve">　</w:t>
            </w:r>
          </w:p>
        </w:tc>
        <w:tc>
          <w:tcPr>
            <w:tcW w:w="2693" w:type="dxa"/>
            <w:tcBorders>
              <w:top w:val="nil"/>
              <w:left w:val="nil"/>
              <w:bottom w:val="single" w:sz="4" w:space="0" w:color="auto"/>
              <w:right w:val="single" w:sz="4" w:space="0" w:color="auto"/>
            </w:tcBorders>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109.8.27</w:t>
            </w: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109年9月</w:t>
            </w:r>
          </w:p>
        </w:tc>
        <w:tc>
          <w:tcPr>
            <w:tcW w:w="3119"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109.9.18</w:t>
            </w:r>
          </w:p>
        </w:tc>
        <w:tc>
          <w:tcPr>
            <w:tcW w:w="1843"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109.09.08</w:t>
            </w:r>
          </w:p>
        </w:tc>
        <w:tc>
          <w:tcPr>
            <w:tcW w:w="2693" w:type="dxa"/>
            <w:tcBorders>
              <w:top w:val="nil"/>
              <w:left w:val="nil"/>
              <w:bottom w:val="single" w:sz="4" w:space="0" w:color="auto"/>
              <w:right w:val="single" w:sz="4" w:space="0" w:color="auto"/>
            </w:tcBorders>
          </w:tcPr>
          <w:p w:rsidR="00233CB6" w:rsidRPr="00233CB6" w:rsidRDefault="00233CB6" w:rsidP="00233CB6">
            <w:pPr>
              <w:widowControl/>
              <w:jc w:val="center"/>
              <w:rPr>
                <w:rFonts w:ascii="標楷體" w:eastAsia="標楷體" w:hAnsi="標楷體" w:cs="新細明體"/>
                <w:color w:val="000000"/>
                <w:kern w:val="0"/>
                <w:szCs w:val="24"/>
              </w:rPr>
            </w:pP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109年10月</w:t>
            </w:r>
          </w:p>
        </w:tc>
        <w:tc>
          <w:tcPr>
            <w:tcW w:w="3119"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109.10.23</w:t>
            </w:r>
          </w:p>
        </w:tc>
        <w:tc>
          <w:tcPr>
            <w:tcW w:w="1843"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w:t>
            </w:r>
          </w:p>
        </w:tc>
        <w:tc>
          <w:tcPr>
            <w:tcW w:w="2693" w:type="dxa"/>
            <w:tcBorders>
              <w:top w:val="nil"/>
              <w:left w:val="nil"/>
              <w:bottom w:val="single" w:sz="4" w:space="0" w:color="auto"/>
              <w:right w:val="single" w:sz="4" w:space="0" w:color="auto"/>
            </w:tcBorders>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109.10.28</w:t>
            </w: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109年11月</w:t>
            </w:r>
          </w:p>
        </w:tc>
        <w:tc>
          <w:tcPr>
            <w:tcW w:w="3119"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109.11.20</w:t>
            </w:r>
          </w:p>
        </w:tc>
        <w:tc>
          <w:tcPr>
            <w:tcW w:w="1843"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109.11.10</w:t>
            </w:r>
          </w:p>
        </w:tc>
        <w:tc>
          <w:tcPr>
            <w:tcW w:w="2693" w:type="dxa"/>
            <w:vMerge w:val="restart"/>
            <w:tcBorders>
              <w:top w:val="nil"/>
              <w:left w:val="nil"/>
              <w:right w:val="single" w:sz="4" w:space="0" w:color="auto"/>
            </w:tcBorders>
            <w:vAlign w:val="center"/>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尚未決定</w:t>
            </w: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109年12月</w:t>
            </w:r>
          </w:p>
        </w:tc>
        <w:tc>
          <w:tcPr>
            <w:tcW w:w="3119"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109.12.18</w:t>
            </w:r>
          </w:p>
        </w:tc>
        <w:tc>
          <w:tcPr>
            <w:tcW w:w="1843"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w:t>
            </w:r>
          </w:p>
        </w:tc>
        <w:tc>
          <w:tcPr>
            <w:tcW w:w="2693" w:type="dxa"/>
            <w:vMerge/>
            <w:tcBorders>
              <w:left w:val="nil"/>
              <w:right w:val="single" w:sz="4" w:space="0" w:color="auto"/>
            </w:tcBorders>
          </w:tcPr>
          <w:p w:rsidR="00233CB6" w:rsidRPr="00233CB6" w:rsidRDefault="00233CB6" w:rsidP="00233CB6">
            <w:pPr>
              <w:widowControl/>
              <w:jc w:val="center"/>
              <w:rPr>
                <w:rFonts w:ascii="標楷體" w:eastAsia="標楷體" w:hAnsi="標楷體" w:cs="新細明體"/>
                <w:color w:val="000000"/>
                <w:kern w:val="0"/>
                <w:szCs w:val="24"/>
              </w:rPr>
            </w:pP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109年1月</w:t>
            </w:r>
          </w:p>
        </w:tc>
        <w:tc>
          <w:tcPr>
            <w:tcW w:w="3119" w:type="dxa"/>
            <w:vMerge w:val="restart"/>
            <w:tcBorders>
              <w:top w:val="nil"/>
              <w:left w:val="nil"/>
              <w:right w:val="nil"/>
            </w:tcBorders>
            <w:shd w:val="clear" w:color="auto" w:fill="auto"/>
            <w:noWrap/>
            <w:vAlign w:val="center"/>
            <w:hideMark/>
          </w:tcPr>
          <w:p w:rsidR="00233CB6" w:rsidRPr="00233CB6" w:rsidRDefault="00233CB6" w:rsidP="00233CB6">
            <w:pPr>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尚未決定</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110.1.6</w:t>
            </w:r>
          </w:p>
        </w:tc>
        <w:tc>
          <w:tcPr>
            <w:tcW w:w="2693" w:type="dxa"/>
            <w:vMerge/>
            <w:tcBorders>
              <w:left w:val="single" w:sz="4" w:space="0" w:color="auto"/>
              <w:right w:val="single" w:sz="4" w:space="0" w:color="auto"/>
            </w:tcBorders>
          </w:tcPr>
          <w:p w:rsidR="00233CB6" w:rsidRPr="00233CB6" w:rsidRDefault="00233CB6" w:rsidP="00233CB6">
            <w:pPr>
              <w:widowControl/>
              <w:jc w:val="center"/>
              <w:rPr>
                <w:rFonts w:ascii="標楷體" w:eastAsia="標楷體" w:hAnsi="標楷體" w:cs="新細明體"/>
                <w:color w:val="000000"/>
                <w:kern w:val="0"/>
                <w:szCs w:val="24"/>
              </w:rPr>
            </w:pP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109年2月</w:t>
            </w:r>
          </w:p>
        </w:tc>
        <w:tc>
          <w:tcPr>
            <w:tcW w:w="3119" w:type="dxa"/>
            <w:vMerge/>
            <w:tcBorders>
              <w:left w:val="nil"/>
              <w:right w:val="single" w:sz="4" w:space="0" w:color="auto"/>
            </w:tcBorders>
            <w:shd w:val="clear" w:color="auto" w:fill="auto"/>
            <w:noWrap/>
            <w:vAlign w:val="center"/>
            <w:hideMark/>
          </w:tcPr>
          <w:p w:rsidR="00233CB6" w:rsidRPr="00233CB6" w:rsidRDefault="00233CB6" w:rsidP="00233CB6">
            <w:pPr>
              <w:jc w:val="center"/>
              <w:rPr>
                <w:rFonts w:ascii="標楷體" w:eastAsia="標楷體" w:hAnsi="標楷體" w:cs="新細明體"/>
                <w:color w:val="000000"/>
                <w:kern w:val="0"/>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w:t>
            </w:r>
          </w:p>
        </w:tc>
        <w:tc>
          <w:tcPr>
            <w:tcW w:w="2693" w:type="dxa"/>
            <w:vMerge/>
            <w:tcBorders>
              <w:left w:val="nil"/>
              <w:right w:val="single" w:sz="4" w:space="0" w:color="auto"/>
            </w:tcBorders>
          </w:tcPr>
          <w:p w:rsidR="00233CB6" w:rsidRPr="00233CB6" w:rsidRDefault="00233CB6" w:rsidP="00233CB6">
            <w:pPr>
              <w:widowControl/>
              <w:jc w:val="center"/>
              <w:rPr>
                <w:rFonts w:ascii="標楷體" w:eastAsia="標楷體" w:hAnsi="標楷體" w:cs="新細明體"/>
                <w:color w:val="000000"/>
                <w:kern w:val="0"/>
                <w:szCs w:val="24"/>
              </w:rPr>
            </w:pP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109年3月</w:t>
            </w:r>
          </w:p>
        </w:tc>
        <w:tc>
          <w:tcPr>
            <w:tcW w:w="3119" w:type="dxa"/>
            <w:vMerge/>
            <w:tcBorders>
              <w:left w:val="nil"/>
              <w:right w:val="single" w:sz="4" w:space="0" w:color="auto"/>
            </w:tcBorders>
            <w:shd w:val="clear" w:color="auto" w:fill="auto"/>
            <w:noWrap/>
            <w:vAlign w:val="center"/>
            <w:hideMark/>
          </w:tcPr>
          <w:p w:rsidR="00233CB6" w:rsidRPr="00233CB6" w:rsidRDefault="00233CB6" w:rsidP="00233CB6">
            <w:pPr>
              <w:jc w:val="center"/>
              <w:rPr>
                <w:rFonts w:ascii="標楷體" w:eastAsia="標楷體" w:hAnsi="標楷體" w:cs="新細明體"/>
                <w:color w:val="000000"/>
                <w:kern w:val="0"/>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110.3.9</w:t>
            </w:r>
          </w:p>
        </w:tc>
        <w:tc>
          <w:tcPr>
            <w:tcW w:w="2693" w:type="dxa"/>
            <w:vMerge/>
            <w:tcBorders>
              <w:left w:val="nil"/>
              <w:right w:val="single" w:sz="4" w:space="0" w:color="auto"/>
            </w:tcBorders>
          </w:tcPr>
          <w:p w:rsidR="00233CB6" w:rsidRPr="00233CB6" w:rsidRDefault="00233CB6" w:rsidP="00233CB6">
            <w:pPr>
              <w:widowControl/>
              <w:jc w:val="center"/>
              <w:rPr>
                <w:rFonts w:ascii="標楷體" w:eastAsia="標楷體" w:hAnsi="標楷體" w:cs="新細明體"/>
                <w:color w:val="000000"/>
                <w:kern w:val="0"/>
                <w:szCs w:val="24"/>
              </w:rPr>
            </w:pP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109年4月</w:t>
            </w:r>
          </w:p>
        </w:tc>
        <w:tc>
          <w:tcPr>
            <w:tcW w:w="3119" w:type="dxa"/>
            <w:vMerge/>
            <w:tcBorders>
              <w:left w:val="nil"/>
              <w:right w:val="single" w:sz="4" w:space="0" w:color="auto"/>
            </w:tcBorders>
            <w:shd w:val="clear" w:color="auto" w:fill="auto"/>
            <w:noWrap/>
            <w:vAlign w:val="center"/>
            <w:hideMark/>
          </w:tcPr>
          <w:p w:rsidR="00233CB6" w:rsidRPr="00233CB6" w:rsidRDefault="00233CB6" w:rsidP="00233CB6">
            <w:pPr>
              <w:jc w:val="center"/>
              <w:rPr>
                <w:rFonts w:ascii="標楷體" w:eastAsia="標楷體" w:hAnsi="標楷體" w:cs="新細明體"/>
                <w:color w:val="000000"/>
                <w:kern w:val="0"/>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110.4.27</w:t>
            </w:r>
          </w:p>
        </w:tc>
        <w:tc>
          <w:tcPr>
            <w:tcW w:w="2693" w:type="dxa"/>
            <w:vMerge/>
            <w:tcBorders>
              <w:left w:val="nil"/>
              <w:right w:val="single" w:sz="4" w:space="0" w:color="auto"/>
            </w:tcBorders>
          </w:tcPr>
          <w:p w:rsidR="00233CB6" w:rsidRPr="00233CB6" w:rsidRDefault="00233CB6" w:rsidP="00233CB6">
            <w:pPr>
              <w:widowControl/>
              <w:jc w:val="center"/>
              <w:rPr>
                <w:rFonts w:ascii="標楷體" w:eastAsia="標楷體" w:hAnsi="標楷體" w:cs="新細明體"/>
                <w:color w:val="000000"/>
                <w:kern w:val="0"/>
                <w:szCs w:val="24"/>
              </w:rPr>
            </w:pP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109年5月</w:t>
            </w:r>
          </w:p>
        </w:tc>
        <w:tc>
          <w:tcPr>
            <w:tcW w:w="3119" w:type="dxa"/>
            <w:vMerge/>
            <w:tcBorders>
              <w:left w:val="nil"/>
              <w:right w:val="single" w:sz="4" w:space="0" w:color="auto"/>
            </w:tcBorders>
            <w:shd w:val="clear" w:color="auto" w:fill="auto"/>
            <w:noWrap/>
            <w:vAlign w:val="center"/>
            <w:hideMark/>
          </w:tcPr>
          <w:p w:rsidR="00233CB6" w:rsidRPr="00233CB6" w:rsidRDefault="00233CB6" w:rsidP="00233CB6">
            <w:pPr>
              <w:jc w:val="center"/>
              <w:rPr>
                <w:rFonts w:ascii="標楷體" w:eastAsia="標楷體" w:hAnsi="標楷體" w:cs="新細明體"/>
                <w:color w:val="000000"/>
                <w:kern w:val="0"/>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w:t>
            </w:r>
          </w:p>
        </w:tc>
        <w:tc>
          <w:tcPr>
            <w:tcW w:w="2693" w:type="dxa"/>
            <w:vMerge/>
            <w:tcBorders>
              <w:left w:val="nil"/>
              <w:right w:val="single" w:sz="4" w:space="0" w:color="auto"/>
            </w:tcBorders>
          </w:tcPr>
          <w:p w:rsidR="00233CB6" w:rsidRPr="00233CB6" w:rsidRDefault="00233CB6" w:rsidP="00233CB6">
            <w:pPr>
              <w:widowControl/>
              <w:jc w:val="center"/>
              <w:rPr>
                <w:rFonts w:ascii="標楷體" w:eastAsia="標楷體" w:hAnsi="標楷體" w:cs="新細明體"/>
                <w:color w:val="000000"/>
                <w:kern w:val="0"/>
                <w:szCs w:val="24"/>
              </w:rPr>
            </w:pP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109年6月</w:t>
            </w:r>
          </w:p>
        </w:tc>
        <w:tc>
          <w:tcPr>
            <w:tcW w:w="3119" w:type="dxa"/>
            <w:vMerge/>
            <w:tcBorders>
              <w:left w:val="nil"/>
              <w:right w:val="single" w:sz="4" w:space="0" w:color="auto"/>
            </w:tcBorders>
            <w:shd w:val="clear" w:color="auto" w:fill="auto"/>
            <w:noWrap/>
            <w:vAlign w:val="center"/>
            <w:hideMark/>
          </w:tcPr>
          <w:p w:rsidR="00233CB6" w:rsidRPr="00233CB6" w:rsidRDefault="00233CB6" w:rsidP="00233CB6">
            <w:pPr>
              <w:jc w:val="center"/>
              <w:rPr>
                <w:rFonts w:ascii="標楷體" w:eastAsia="標楷體" w:hAnsi="標楷體" w:cs="新細明體"/>
                <w:color w:val="000000"/>
                <w:kern w:val="0"/>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110.6.15</w:t>
            </w:r>
          </w:p>
        </w:tc>
        <w:tc>
          <w:tcPr>
            <w:tcW w:w="2693" w:type="dxa"/>
            <w:vMerge/>
            <w:tcBorders>
              <w:left w:val="nil"/>
              <w:right w:val="single" w:sz="4" w:space="0" w:color="auto"/>
            </w:tcBorders>
          </w:tcPr>
          <w:p w:rsidR="00233CB6" w:rsidRPr="00233CB6" w:rsidRDefault="00233CB6" w:rsidP="00233CB6">
            <w:pPr>
              <w:widowControl/>
              <w:jc w:val="center"/>
              <w:rPr>
                <w:rFonts w:ascii="標楷體" w:eastAsia="標楷體" w:hAnsi="標楷體" w:cs="新細明體"/>
                <w:color w:val="000000"/>
                <w:kern w:val="0"/>
                <w:szCs w:val="24"/>
              </w:rPr>
            </w:pPr>
          </w:p>
        </w:tc>
      </w:tr>
      <w:tr w:rsidR="00233CB6" w:rsidRPr="00233CB6" w:rsidTr="00233CB6">
        <w:trPr>
          <w:trHeight w:val="39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109年7月</w:t>
            </w:r>
          </w:p>
        </w:tc>
        <w:tc>
          <w:tcPr>
            <w:tcW w:w="3119" w:type="dxa"/>
            <w:vMerge/>
            <w:tcBorders>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233CB6" w:rsidRPr="00233CB6" w:rsidRDefault="00233CB6" w:rsidP="00233CB6">
            <w:pPr>
              <w:widowControl/>
              <w:jc w:val="center"/>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110.7.13</w:t>
            </w:r>
          </w:p>
        </w:tc>
        <w:tc>
          <w:tcPr>
            <w:tcW w:w="2693" w:type="dxa"/>
            <w:vMerge/>
            <w:tcBorders>
              <w:left w:val="nil"/>
              <w:bottom w:val="single" w:sz="4" w:space="0" w:color="auto"/>
              <w:right w:val="single" w:sz="4" w:space="0" w:color="auto"/>
            </w:tcBorders>
          </w:tcPr>
          <w:p w:rsidR="00233CB6" w:rsidRPr="00233CB6" w:rsidRDefault="00233CB6" w:rsidP="00233CB6">
            <w:pPr>
              <w:widowControl/>
              <w:jc w:val="center"/>
              <w:rPr>
                <w:rFonts w:ascii="標楷體" w:eastAsia="標楷體" w:hAnsi="標楷體" w:cs="新細明體"/>
                <w:color w:val="000000"/>
                <w:kern w:val="0"/>
                <w:szCs w:val="24"/>
              </w:rPr>
            </w:pPr>
          </w:p>
        </w:tc>
      </w:tr>
      <w:tr w:rsidR="00233CB6" w:rsidRPr="00233CB6" w:rsidTr="00233CB6">
        <w:trPr>
          <w:trHeight w:val="330"/>
        </w:trPr>
        <w:tc>
          <w:tcPr>
            <w:tcW w:w="9371" w:type="dxa"/>
            <w:gridSpan w:val="4"/>
            <w:tcBorders>
              <w:top w:val="nil"/>
              <w:left w:val="nil"/>
              <w:bottom w:val="nil"/>
              <w:right w:val="nil"/>
            </w:tcBorders>
            <w:shd w:val="clear" w:color="auto" w:fill="auto"/>
            <w:noWrap/>
            <w:vAlign w:val="center"/>
            <w:hideMark/>
          </w:tcPr>
          <w:p w:rsidR="00233CB6" w:rsidRPr="00233CB6" w:rsidRDefault="00233CB6" w:rsidP="00233CB6">
            <w:pPr>
              <w:widowControl/>
              <w:rPr>
                <w:rFonts w:ascii="標楷體" w:eastAsia="標楷體" w:hAnsi="標楷體" w:cs="新細明體"/>
                <w:color w:val="000000"/>
                <w:kern w:val="0"/>
                <w:szCs w:val="24"/>
              </w:rPr>
            </w:pPr>
            <w:r w:rsidRPr="00233CB6">
              <w:rPr>
                <w:rFonts w:ascii="標楷體" w:eastAsia="標楷體" w:hAnsi="標楷體" w:cs="新細明體" w:hint="eastAsia"/>
                <w:color w:val="000000"/>
                <w:kern w:val="0"/>
                <w:szCs w:val="24"/>
              </w:rPr>
              <w:t>備註：申請人請於會議審查時間之前一個月將申請文件送達審查機構。</w:t>
            </w:r>
          </w:p>
        </w:tc>
      </w:tr>
    </w:tbl>
    <w:p w:rsidR="00233CB6" w:rsidRPr="00233CB6" w:rsidRDefault="00233CB6" w:rsidP="003E4466">
      <w:pPr>
        <w:rPr>
          <w:rFonts w:ascii="標楷體" w:eastAsia="SimSun" w:hAnsi="標楷體" w:hint="eastAsia"/>
          <w:b/>
          <w:shd w:val="pct15" w:color="auto" w:fill="FFFFFF"/>
        </w:rPr>
      </w:pPr>
    </w:p>
    <w:sectPr w:rsidR="00233CB6" w:rsidRPr="00233CB6" w:rsidSect="003E4466">
      <w:pgSz w:w="16838" w:h="11906" w:orient="landscape"/>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66"/>
    <w:rsid w:val="00233CB6"/>
    <w:rsid w:val="003E4466"/>
    <w:rsid w:val="00513550"/>
    <w:rsid w:val="006C506B"/>
    <w:rsid w:val="007E4A96"/>
    <w:rsid w:val="00807228"/>
    <w:rsid w:val="00872180"/>
    <w:rsid w:val="0090390E"/>
    <w:rsid w:val="009D7925"/>
    <w:rsid w:val="00CA77D4"/>
    <w:rsid w:val="00DC30D3"/>
    <w:rsid w:val="00ED3BAF"/>
    <w:rsid w:val="00F12F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4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4A9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E4A96"/>
    <w:rPr>
      <w:rFonts w:asciiTheme="majorHAnsi" w:eastAsiaTheme="majorEastAsia" w:hAnsiTheme="majorHAnsi" w:cstheme="majorBidi"/>
      <w:sz w:val="18"/>
      <w:szCs w:val="18"/>
    </w:rPr>
  </w:style>
  <w:style w:type="paragraph" w:styleId="Web">
    <w:name w:val="Normal (Web)"/>
    <w:basedOn w:val="a"/>
    <w:uiPriority w:val="99"/>
    <w:semiHidden/>
    <w:unhideWhenUsed/>
    <w:rsid w:val="007E4A96"/>
    <w:pPr>
      <w:widowControl/>
      <w:spacing w:before="100" w:beforeAutospacing="1" w:after="100" w:afterAutospacing="1"/>
    </w:pPr>
    <w:rPr>
      <w:rFonts w:ascii="新細明體" w:eastAsia="新細明體" w:hAnsi="新細明體" w:cs="新細明體"/>
      <w:kern w:val="0"/>
      <w:szCs w:val="24"/>
    </w:rPr>
  </w:style>
  <w:style w:type="character" w:styleId="a6">
    <w:name w:val="Strong"/>
    <w:basedOn w:val="a0"/>
    <w:uiPriority w:val="22"/>
    <w:qFormat/>
    <w:rsid w:val="007E4A96"/>
    <w:rPr>
      <w:b/>
      <w:bCs/>
    </w:rPr>
  </w:style>
  <w:style w:type="character" w:styleId="a7">
    <w:name w:val="Hyperlink"/>
    <w:basedOn w:val="a0"/>
    <w:uiPriority w:val="99"/>
    <w:semiHidden/>
    <w:unhideWhenUsed/>
    <w:rsid w:val="007E4A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4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4A9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E4A96"/>
    <w:rPr>
      <w:rFonts w:asciiTheme="majorHAnsi" w:eastAsiaTheme="majorEastAsia" w:hAnsiTheme="majorHAnsi" w:cstheme="majorBidi"/>
      <w:sz w:val="18"/>
      <w:szCs w:val="18"/>
    </w:rPr>
  </w:style>
  <w:style w:type="paragraph" w:styleId="Web">
    <w:name w:val="Normal (Web)"/>
    <w:basedOn w:val="a"/>
    <w:uiPriority w:val="99"/>
    <w:semiHidden/>
    <w:unhideWhenUsed/>
    <w:rsid w:val="007E4A96"/>
    <w:pPr>
      <w:widowControl/>
      <w:spacing w:before="100" w:beforeAutospacing="1" w:after="100" w:afterAutospacing="1"/>
    </w:pPr>
    <w:rPr>
      <w:rFonts w:ascii="新細明體" w:eastAsia="新細明體" w:hAnsi="新細明體" w:cs="新細明體"/>
      <w:kern w:val="0"/>
      <w:szCs w:val="24"/>
    </w:rPr>
  </w:style>
  <w:style w:type="character" w:styleId="a6">
    <w:name w:val="Strong"/>
    <w:basedOn w:val="a0"/>
    <w:uiPriority w:val="22"/>
    <w:qFormat/>
    <w:rsid w:val="007E4A96"/>
    <w:rPr>
      <w:b/>
      <w:bCs/>
    </w:rPr>
  </w:style>
  <w:style w:type="character" w:styleId="a7">
    <w:name w:val="Hyperlink"/>
    <w:basedOn w:val="a0"/>
    <w:uiPriority w:val="99"/>
    <w:semiHidden/>
    <w:unhideWhenUsed/>
    <w:rsid w:val="007E4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58872">
      <w:bodyDiv w:val="1"/>
      <w:marLeft w:val="0"/>
      <w:marRight w:val="0"/>
      <w:marTop w:val="0"/>
      <w:marBottom w:val="0"/>
      <w:divBdr>
        <w:top w:val="none" w:sz="0" w:space="0" w:color="auto"/>
        <w:left w:val="none" w:sz="0" w:space="0" w:color="auto"/>
        <w:bottom w:val="none" w:sz="0" w:space="0" w:color="auto"/>
        <w:right w:val="none" w:sz="0" w:space="0" w:color="auto"/>
      </w:divBdr>
      <w:divsChild>
        <w:div w:id="1880430379">
          <w:marLeft w:val="0"/>
          <w:marRight w:val="0"/>
          <w:marTop w:val="15"/>
          <w:marBottom w:val="0"/>
          <w:divBdr>
            <w:top w:val="none" w:sz="0" w:space="0" w:color="auto"/>
            <w:left w:val="none" w:sz="0" w:space="0" w:color="auto"/>
            <w:bottom w:val="none" w:sz="0" w:space="0" w:color="auto"/>
            <w:right w:val="none" w:sz="0" w:space="0" w:color="auto"/>
          </w:divBdr>
          <w:divsChild>
            <w:div w:id="16294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2064">
      <w:bodyDiv w:val="1"/>
      <w:marLeft w:val="0"/>
      <w:marRight w:val="0"/>
      <w:marTop w:val="0"/>
      <w:marBottom w:val="0"/>
      <w:divBdr>
        <w:top w:val="none" w:sz="0" w:space="0" w:color="auto"/>
        <w:left w:val="none" w:sz="0" w:space="0" w:color="auto"/>
        <w:bottom w:val="none" w:sz="0" w:space="0" w:color="auto"/>
        <w:right w:val="none" w:sz="0" w:space="0" w:color="auto"/>
      </w:divBdr>
    </w:div>
    <w:div w:id="494106613">
      <w:bodyDiv w:val="1"/>
      <w:marLeft w:val="0"/>
      <w:marRight w:val="0"/>
      <w:marTop w:val="0"/>
      <w:marBottom w:val="0"/>
      <w:divBdr>
        <w:top w:val="none" w:sz="0" w:space="0" w:color="auto"/>
        <w:left w:val="none" w:sz="0" w:space="0" w:color="auto"/>
        <w:bottom w:val="none" w:sz="0" w:space="0" w:color="auto"/>
        <w:right w:val="none" w:sz="0" w:space="0" w:color="auto"/>
      </w:divBdr>
      <w:divsChild>
        <w:div w:id="15736290">
          <w:marLeft w:val="0"/>
          <w:marRight w:val="0"/>
          <w:marTop w:val="15"/>
          <w:marBottom w:val="0"/>
          <w:divBdr>
            <w:top w:val="none" w:sz="0" w:space="0" w:color="auto"/>
            <w:left w:val="none" w:sz="0" w:space="0" w:color="auto"/>
            <w:bottom w:val="none" w:sz="0" w:space="0" w:color="auto"/>
            <w:right w:val="none" w:sz="0" w:space="0" w:color="auto"/>
          </w:divBdr>
          <w:divsChild>
            <w:div w:id="636372613">
              <w:marLeft w:val="0"/>
              <w:marRight w:val="0"/>
              <w:marTop w:val="0"/>
              <w:marBottom w:val="0"/>
              <w:divBdr>
                <w:top w:val="none" w:sz="0" w:space="0" w:color="auto"/>
                <w:left w:val="none" w:sz="0" w:space="0" w:color="auto"/>
                <w:bottom w:val="none" w:sz="0" w:space="0" w:color="auto"/>
                <w:right w:val="none" w:sz="0" w:space="0" w:color="auto"/>
              </w:divBdr>
            </w:div>
          </w:divsChild>
        </w:div>
        <w:div w:id="1370062390">
          <w:marLeft w:val="0"/>
          <w:marRight w:val="0"/>
          <w:marTop w:val="15"/>
          <w:marBottom w:val="0"/>
          <w:divBdr>
            <w:top w:val="none" w:sz="0" w:space="0" w:color="auto"/>
            <w:left w:val="none" w:sz="0" w:space="0" w:color="auto"/>
            <w:bottom w:val="none" w:sz="0" w:space="0" w:color="auto"/>
            <w:right w:val="none" w:sz="0" w:space="0" w:color="auto"/>
          </w:divBdr>
          <w:divsChild>
            <w:div w:id="222178806">
              <w:marLeft w:val="0"/>
              <w:marRight w:val="0"/>
              <w:marTop w:val="0"/>
              <w:marBottom w:val="0"/>
              <w:divBdr>
                <w:top w:val="none" w:sz="0" w:space="0" w:color="auto"/>
                <w:left w:val="none" w:sz="0" w:space="0" w:color="auto"/>
                <w:bottom w:val="none" w:sz="0" w:space="0" w:color="auto"/>
                <w:right w:val="none" w:sz="0" w:space="0" w:color="auto"/>
              </w:divBdr>
            </w:div>
          </w:divsChild>
        </w:div>
        <w:div w:id="1634672054">
          <w:marLeft w:val="0"/>
          <w:marRight w:val="0"/>
          <w:marTop w:val="15"/>
          <w:marBottom w:val="0"/>
          <w:divBdr>
            <w:top w:val="none" w:sz="0" w:space="0" w:color="auto"/>
            <w:left w:val="none" w:sz="0" w:space="0" w:color="auto"/>
            <w:bottom w:val="none" w:sz="0" w:space="0" w:color="auto"/>
            <w:right w:val="none" w:sz="0" w:space="0" w:color="auto"/>
          </w:divBdr>
          <w:divsChild>
            <w:div w:id="302974355">
              <w:marLeft w:val="0"/>
              <w:marRight w:val="0"/>
              <w:marTop w:val="0"/>
              <w:marBottom w:val="0"/>
              <w:divBdr>
                <w:top w:val="none" w:sz="0" w:space="0" w:color="auto"/>
                <w:left w:val="none" w:sz="0" w:space="0" w:color="auto"/>
                <w:bottom w:val="none" w:sz="0" w:space="0" w:color="auto"/>
                <w:right w:val="none" w:sz="0" w:space="0" w:color="auto"/>
              </w:divBdr>
            </w:div>
          </w:divsChild>
        </w:div>
        <w:div w:id="1907259924">
          <w:marLeft w:val="0"/>
          <w:marRight w:val="0"/>
          <w:marTop w:val="15"/>
          <w:marBottom w:val="0"/>
          <w:divBdr>
            <w:top w:val="none" w:sz="0" w:space="0" w:color="auto"/>
            <w:left w:val="none" w:sz="0" w:space="0" w:color="auto"/>
            <w:bottom w:val="none" w:sz="0" w:space="0" w:color="auto"/>
            <w:right w:val="none" w:sz="0" w:space="0" w:color="auto"/>
          </w:divBdr>
          <w:divsChild>
            <w:div w:id="1717242937">
              <w:marLeft w:val="0"/>
              <w:marRight w:val="0"/>
              <w:marTop w:val="0"/>
              <w:marBottom w:val="0"/>
              <w:divBdr>
                <w:top w:val="none" w:sz="0" w:space="0" w:color="auto"/>
                <w:left w:val="none" w:sz="0" w:space="0" w:color="auto"/>
                <w:bottom w:val="none" w:sz="0" w:space="0" w:color="auto"/>
                <w:right w:val="none" w:sz="0" w:space="0" w:color="auto"/>
              </w:divBdr>
            </w:div>
          </w:divsChild>
        </w:div>
        <w:div w:id="2015692855">
          <w:marLeft w:val="0"/>
          <w:marRight w:val="0"/>
          <w:marTop w:val="15"/>
          <w:marBottom w:val="0"/>
          <w:divBdr>
            <w:top w:val="none" w:sz="0" w:space="0" w:color="auto"/>
            <w:left w:val="none" w:sz="0" w:space="0" w:color="auto"/>
            <w:bottom w:val="none" w:sz="0" w:space="0" w:color="auto"/>
            <w:right w:val="none" w:sz="0" w:space="0" w:color="auto"/>
          </w:divBdr>
          <w:divsChild>
            <w:div w:id="18869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60098">
      <w:bodyDiv w:val="1"/>
      <w:marLeft w:val="0"/>
      <w:marRight w:val="0"/>
      <w:marTop w:val="0"/>
      <w:marBottom w:val="0"/>
      <w:divBdr>
        <w:top w:val="none" w:sz="0" w:space="0" w:color="auto"/>
        <w:left w:val="none" w:sz="0" w:space="0" w:color="auto"/>
        <w:bottom w:val="none" w:sz="0" w:space="0" w:color="auto"/>
        <w:right w:val="none" w:sz="0" w:space="0" w:color="auto"/>
      </w:divBdr>
      <w:divsChild>
        <w:div w:id="1400977860">
          <w:marLeft w:val="0"/>
          <w:marRight w:val="0"/>
          <w:marTop w:val="15"/>
          <w:marBottom w:val="0"/>
          <w:divBdr>
            <w:top w:val="none" w:sz="0" w:space="0" w:color="auto"/>
            <w:left w:val="none" w:sz="0" w:space="0" w:color="auto"/>
            <w:bottom w:val="none" w:sz="0" w:space="0" w:color="auto"/>
            <w:right w:val="none" w:sz="0" w:space="0" w:color="auto"/>
          </w:divBdr>
          <w:divsChild>
            <w:div w:id="18297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1428">
      <w:bodyDiv w:val="1"/>
      <w:marLeft w:val="0"/>
      <w:marRight w:val="0"/>
      <w:marTop w:val="0"/>
      <w:marBottom w:val="0"/>
      <w:divBdr>
        <w:top w:val="none" w:sz="0" w:space="0" w:color="auto"/>
        <w:left w:val="none" w:sz="0" w:space="0" w:color="auto"/>
        <w:bottom w:val="none" w:sz="0" w:space="0" w:color="auto"/>
        <w:right w:val="none" w:sz="0" w:space="0" w:color="auto"/>
      </w:divBdr>
      <w:divsChild>
        <w:div w:id="1876502876">
          <w:marLeft w:val="0"/>
          <w:marRight w:val="0"/>
          <w:marTop w:val="15"/>
          <w:marBottom w:val="0"/>
          <w:divBdr>
            <w:top w:val="none" w:sz="0" w:space="0" w:color="auto"/>
            <w:left w:val="none" w:sz="0" w:space="0" w:color="auto"/>
            <w:bottom w:val="none" w:sz="0" w:space="0" w:color="auto"/>
            <w:right w:val="none" w:sz="0" w:space="0" w:color="auto"/>
          </w:divBdr>
          <w:divsChild>
            <w:div w:id="4485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2020-11-25T08:14:00Z</dcterms:created>
  <dcterms:modified xsi:type="dcterms:W3CDTF">2020-11-25T08:14:00Z</dcterms:modified>
</cp:coreProperties>
</file>