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720"/>
        <w:gridCol w:w="2520"/>
        <w:gridCol w:w="1080"/>
        <w:gridCol w:w="2934"/>
      </w:tblGrid>
      <w:tr w:rsidR="00FC2C92" w:rsidTr="00E84544">
        <w:tblPrEx>
          <w:tblCellMar>
            <w:top w:w="0" w:type="dxa"/>
            <w:bottom w:w="0" w:type="dxa"/>
          </w:tblCellMar>
        </w:tblPrEx>
        <w:trPr>
          <w:trHeight w:val="881"/>
        </w:trPr>
        <w:tc>
          <w:tcPr>
            <w:tcW w:w="8334" w:type="dxa"/>
            <w:gridSpan w:val="5"/>
            <w:vAlign w:val="center"/>
          </w:tcPr>
          <w:p w:rsidR="00FC2C92" w:rsidRDefault="00FC2C92">
            <w:pPr>
              <w:jc w:val="center"/>
              <w:rPr>
                <w:rFonts w:eastAsia="標楷體" w:hint="eastAsia"/>
                <w:b/>
                <w:bCs/>
                <w:sz w:val="36"/>
              </w:rPr>
            </w:pPr>
            <w:r>
              <w:rPr>
                <w:rFonts w:eastAsia="標楷體" w:hint="eastAsia"/>
                <w:b/>
                <w:bCs/>
                <w:sz w:val="36"/>
              </w:rPr>
              <w:t>因公出國人員搭乘外國籍航空公司班機申請書</w:t>
            </w:r>
          </w:p>
        </w:tc>
      </w:tr>
      <w:tr w:rsidR="00FC2C92" w:rsidTr="00E84544">
        <w:tblPrEx>
          <w:tblCellMar>
            <w:top w:w="0" w:type="dxa"/>
            <w:bottom w:w="0" w:type="dxa"/>
          </w:tblCellMar>
        </w:tblPrEx>
        <w:trPr>
          <w:trHeight w:val="8445"/>
        </w:trPr>
        <w:tc>
          <w:tcPr>
            <w:tcW w:w="8334" w:type="dxa"/>
            <w:gridSpan w:val="5"/>
          </w:tcPr>
          <w:p w:rsidR="00FC2C92" w:rsidRDefault="00FC2C92">
            <w:pPr>
              <w:spacing w:line="500" w:lineRule="exact"/>
              <w:ind w:leftChars="29" w:left="70" w:firstLineChars="100" w:firstLine="280"/>
              <w:rPr>
                <w:rFonts w:eastAsia="標楷體" w:hint="eastAsia"/>
                <w:sz w:val="28"/>
              </w:rPr>
            </w:pPr>
          </w:p>
          <w:p w:rsidR="00FC2C92" w:rsidRDefault="00FC2C92">
            <w:pPr>
              <w:spacing w:line="500" w:lineRule="exact"/>
              <w:ind w:leftChars="29" w:left="70" w:firstLineChars="100" w:firstLine="280"/>
              <w:rPr>
                <w:rFonts w:eastAsia="標楷體" w:hint="eastAsia"/>
                <w:sz w:val="28"/>
              </w:rPr>
            </w:pPr>
            <w:r>
              <w:rPr>
                <w:rFonts w:eastAsia="標楷體" w:hint="eastAsia"/>
                <w:sz w:val="28"/>
              </w:rPr>
              <w:t>本人確因下列原因</w:t>
            </w:r>
            <w:proofErr w:type="gramStart"/>
            <w:r>
              <w:rPr>
                <w:rFonts w:eastAsia="標楷體" w:hint="eastAsia"/>
                <w:sz w:val="28"/>
              </w:rPr>
              <w:t>改搭外國籍</w:t>
            </w:r>
            <w:proofErr w:type="gramEnd"/>
            <w:r>
              <w:rPr>
                <w:rFonts w:eastAsia="標楷體" w:hint="eastAsia"/>
                <w:sz w:val="28"/>
              </w:rPr>
              <w:t>航空班機（請於□內打勾）：</w:t>
            </w:r>
          </w:p>
          <w:p w:rsidR="00FC2C92" w:rsidRDefault="00FC2C92">
            <w:pPr>
              <w:numPr>
                <w:ilvl w:val="1"/>
                <w:numId w:val="1"/>
              </w:numPr>
              <w:spacing w:line="500" w:lineRule="exact"/>
              <w:rPr>
                <w:rFonts w:eastAsia="標楷體" w:hint="eastAsia"/>
                <w:sz w:val="28"/>
              </w:rPr>
            </w:pPr>
            <w:r>
              <w:rPr>
                <w:rFonts w:eastAsia="標楷體" w:hint="eastAsia"/>
                <w:sz w:val="28"/>
              </w:rPr>
              <w:t>出國、返國或轉機當日，本國籍航空公司班機客位已售滿。</w:t>
            </w:r>
          </w:p>
          <w:p w:rsidR="00FC2C92" w:rsidRDefault="00FC2C92">
            <w:pPr>
              <w:numPr>
                <w:ilvl w:val="1"/>
                <w:numId w:val="1"/>
              </w:numPr>
              <w:spacing w:line="500" w:lineRule="exact"/>
              <w:rPr>
                <w:rFonts w:eastAsia="標楷體" w:hint="eastAsia"/>
                <w:sz w:val="28"/>
              </w:rPr>
            </w:pPr>
            <w:r>
              <w:rPr>
                <w:rFonts w:eastAsia="標楷體" w:hint="eastAsia"/>
                <w:sz w:val="28"/>
              </w:rPr>
              <w:t>出國、返國或轉機當日，無本國籍航空公司班機飛航。</w:t>
            </w:r>
          </w:p>
          <w:p w:rsidR="00FC2C92" w:rsidRDefault="00FC2C92">
            <w:pPr>
              <w:numPr>
                <w:ilvl w:val="1"/>
                <w:numId w:val="1"/>
              </w:numPr>
              <w:spacing w:line="500" w:lineRule="exact"/>
              <w:rPr>
                <w:rFonts w:eastAsia="標楷體" w:hint="eastAsia"/>
                <w:sz w:val="28"/>
              </w:rPr>
            </w:pPr>
            <w:proofErr w:type="gramStart"/>
            <w:r>
              <w:rPr>
                <w:rFonts w:eastAsia="標楷體" w:hint="eastAsia"/>
                <w:sz w:val="28"/>
              </w:rPr>
              <w:t>搭本國籍</w:t>
            </w:r>
            <w:proofErr w:type="gramEnd"/>
            <w:r>
              <w:rPr>
                <w:rFonts w:eastAsia="標楷體" w:hint="eastAsia"/>
                <w:sz w:val="28"/>
              </w:rPr>
              <w:t>航空公司班機再轉機，其轉機等待時間超過四小時。</w:t>
            </w:r>
          </w:p>
          <w:p w:rsidR="00FC2C92" w:rsidRDefault="00FC2C92">
            <w:pPr>
              <w:numPr>
                <w:ilvl w:val="1"/>
                <w:numId w:val="1"/>
              </w:numPr>
              <w:spacing w:line="500" w:lineRule="exact"/>
              <w:rPr>
                <w:rFonts w:eastAsia="標楷體" w:hint="eastAsia"/>
                <w:sz w:val="28"/>
              </w:rPr>
            </w:pPr>
            <w:r>
              <w:rPr>
                <w:rFonts w:eastAsia="標楷體" w:hint="eastAsia"/>
                <w:sz w:val="28"/>
              </w:rPr>
              <w:t>本國籍航空公司班機無法銜接轉運。</w:t>
            </w:r>
          </w:p>
          <w:p w:rsidR="00FC2C92" w:rsidRDefault="00FC2C92">
            <w:pPr>
              <w:numPr>
                <w:ilvl w:val="1"/>
                <w:numId w:val="1"/>
              </w:numPr>
              <w:spacing w:line="500" w:lineRule="exact"/>
              <w:rPr>
                <w:rFonts w:eastAsia="標楷體" w:hint="eastAsia"/>
                <w:sz w:val="28"/>
              </w:rPr>
            </w:pPr>
            <w:r>
              <w:rPr>
                <w:rFonts w:eastAsia="標楷體" w:hint="eastAsia"/>
                <w:sz w:val="28"/>
              </w:rPr>
              <w:t>其他特殊情況。</w:t>
            </w:r>
          </w:p>
          <w:p w:rsidR="00FC2C92" w:rsidRDefault="00FC2C92">
            <w:pPr>
              <w:spacing w:line="500" w:lineRule="exact"/>
              <w:ind w:leftChars="200" w:left="480" w:firstLineChars="100" w:firstLine="280"/>
              <w:rPr>
                <w:rFonts w:eastAsia="標楷體" w:hint="eastAsia"/>
                <w:sz w:val="28"/>
              </w:rPr>
            </w:pPr>
            <w:proofErr w:type="gramStart"/>
            <w:r>
              <w:rPr>
                <w:rFonts w:eastAsia="標楷體" w:hint="eastAsia"/>
                <w:sz w:val="28"/>
              </w:rPr>
              <w:t>（</w:t>
            </w:r>
            <w:proofErr w:type="gramEnd"/>
            <w:r>
              <w:rPr>
                <w:rFonts w:eastAsia="標楷體" w:hint="eastAsia"/>
                <w:sz w:val="28"/>
              </w:rPr>
              <w:t>說明：　　　　　　　　　　　　　　　　　　　　　）</w:t>
            </w:r>
          </w:p>
        </w:tc>
      </w:tr>
      <w:tr w:rsidR="00FC2C92" w:rsidTr="00E84544">
        <w:tblPrEx>
          <w:tblCellMar>
            <w:top w:w="0" w:type="dxa"/>
            <w:bottom w:w="0" w:type="dxa"/>
          </w:tblCellMar>
        </w:tblPrEx>
        <w:trPr>
          <w:cantSplit/>
          <w:trHeight w:val="1247"/>
        </w:trPr>
        <w:tc>
          <w:tcPr>
            <w:tcW w:w="1080" w:type="dxa"/>
            <w:vAlign w:val="center"/>
          </w:tcPr>
          <w:p w:rsidR="00FC2C92" w:rsidRDefault="00FC2C92">
            <w:pPr>
              <w:rPr>
                <w:rFonts w:eastAsia="標楷體" w:hint="eastAsia"/>
              </w:rPr>
            </w:pPr>
            <w:r>
              <w:rPr>
                <w:rFonts w:eastAsia="標楷體" w:hint="eastAsia"/>
              </w:rPr>
              <w:t>申請人</w:t>
            </w:r>
          </w:p>
        </w:tc>
        <w:tc>
          <w:tcPr>
            <w:tcW w:w="720" w:type="dxa"/>
            <w:vAlign w:val="center"/>
          </w:tcPr>
          <w:p w:rsidR="00FC2C92" w:rsidRDefault="00FC2C92">
            <w:pPr>
              <w:rPr>
                <w:rFonts w:eastAsia="標楷體" w:hint="eastAsia"/>
              </w:rPr>
            </w:pPr>
            <w:r>
              <w:rPr>
                <w:rFonts w:eastAsia="標楷體" w:hint="eastAsia"/>
              </w:rPr>
              <w:t>職稱</w:t>
            </w:r>
          </w:p>
        </w:tc>
        <w:tc>
          <w:tcPr>
            <w:tcW w:w="2520" w:type="dxa"/>
            <w:vAlign w:val="center"/>
          </w:tcPr>
          <w:p w:rsidR="00FC2C92" w:rsidRDefault="00FC2C92">
            <w:pPr>
              <w:rPr>
                <w:rFonts w:eastAsia="標楷體" w:hint="eastAsia"/>
              </w:rPr>
            </w:pPr>
          </w:p>
        </w:tc>
        <w:tc>
          <w:tcPr>
            <w:tcW w:w="1080" w:type="dxa"/>
            <w:vAlign w:val="center"/>
          </w:tcPr>
          <w:p w:rsidR="00FC2C92" w:rsidRDefault="00FC2C92">
            <w:pPr>
              <w:rPr>
                <w:rFonts w:eastAsia="標楷體" w:hint="eastAsia"/>
              </w:rPr>
            </w:pPr>
            <w:r>
              <w:rPr>
                <w:rFonts w:eastAsia="標楷體" w:hint="eastAsia"/>
              </w:rPr>
              <w:t>姓名</w:t>
            </w:r>
          </w:p>
        </w:tc>
        <w:tc>
          <w:tcPr>
            <w:tcW w:w="2934" w:type="dxa"/>
            <w:vAlign w:val="center"/>
          </w:tcPr>
          <w:p w:rsidR="00FC2C92" w:rsidRDefault="00FC2C92">
            <w:pPr>
              <w:rPr>
                <w:rFonts w:eastAsia="標楷體" w:hint="eastAsia"/>
              </w:rPr>
            </w:pPr>
          </w:p>
        </w:tc>
      </w:tr>
      <w:tr w:rsidR="00FC2C92" w:rsidTr="00E84544">
        <w:tblPrEx>
          <w:tblCellMar>
            <w:top w:w="0" w:type="dxa"/>
            <w:bottom w:w="0" w:type="dxa"/>
          </w:tblCellMar>
        </w:tblPrEx>
        <w:trPr>
          <w:cantSplit/>
          <w:trHeight w:val="1427"/>
        </w:trPr>
        <w:tc>
          <w:tcPr>
            <w:tcW w:w="1080" w:type="dxa"/>
            <w:vAlign w:val="center"/>
          </w:tcPr>
          <w:p w:rsidR="00FC2C92" w:rsidRDefault="00FC2C92">
            <w:pPr>
              <w:rPr>
                <w:rFonts w:eastAsia="標楷體" w:hint="eastAsia"/>
              </w:rPr>
            </w:pPr>
            <w:r>
              <w:rPr>
                <w:rFonts w:eastAsia="標楷體" w:hint="eastAsia"/>
              </w:rPr>
              <w:t>單位主管</w:t>
            </w:r>
          </w:p>
        </w:tc>
        <w:tc>
          <w:tcPr>
            <w:tcW w:w="3240" w:type="dxa"/>
            <w:gridSpan w:val="2"/>
            <w:vAlign w:val="center"/>
          </w:tcPr>
          <w:p w:rsidR="00FC2C92" w:rsidRDefault="00FC2C92">
            <w:pPr>
              <w:rPr>
                <w:rFonts w:eastAsia="標楷體" w:hint="eastAsia"/>
              </w:rPr>
            </w:pPr>
          </w:p>
        </w:tc>
        <w:tc>
          <w:tcPr>
            <w:tcW w:w="1080" w:type="dxa"/>
            <w:vAlign w:val="center"/>
          </w:tcPr>
          <w:p w:rsidR="00FC2C92" w:rsidRDefault="00FC2C92">
            <w:pPr>
              <w:rPr>
                <w:rFonts w:eastAsia="標楷體" w:hint="eastAsia"/>
              </w:rPr>
            </w:pPr>
            <w:r>
              <w:rPr>
                <w:rFonts w:eastAsia="標楷體" w:hint="eastAsia"/>
              </w:rPr>
              <w:t>機關首長</w:t>
            </w:r>
          </w:p>
        </w:tc>
        <w:tc>
          <w:tcPr>
            <w:tcW w:w="2934" w:type="dxa"/>
            <w:vAlign w:val="center"/>
          </w:tcPr>
          <w:p w:rsidR="00FC2C92" w:rsidRDefault="00FC2C92">
            <w:pPr>
              <w:rPr>
                <w:rFonts w:eastAsia="標楷體" w:hint="eastAsia"/>
              </w:rPr>
            </w:pPr>
          </w:p>
        </w:tc>
      </w:tr>
    </w:tbl>
    <w:p w:rsidR="00E84544" w:rsidRDefault="00E84544" w:rsidP="00E84544">
      <w:pPr>
        <w:pStyle w:val="Web"/>
        <w:rPr>
          <w:rStyle w:val="a4"/>
          <w:rFonts w:ascii="新細明體" w:eastAsia="新細明體" w:hAnsi="新細明體" w:hint="eastAsia"/>
          <w:color w:val="800000"/>
          <w:sz w:val="27"/>
          <w:szCs w:val="27"/>
        </w:rPr>
      </w:pPr>
    </w:p>
    <w:p w:rsidR="00E84544" w:rsidRDefault="00E84544" w:rsidP="00E84544">
      <w:pPr>
        <w:pStyle w:val="Web"/>
        <w:rPr>
          <w:rStyle w:val="a4"/>
          <w:rFonts w:ascii="新細明體" w:eastAsia="新細明體" w:hAnsi="新細明體" w:hint="eastAsia"/>
          <w:color w:val="800000"/>
          <w:sz w:val="27"/>
          <w:szCs w:val="27"/>
        </w:rPr>
      </w:pPr>
    </w:p>
    <w:p w:rsidR="00E84544" w:rsidRDefault="00E84544" w:rsidP="00E84544">
      <w:pPr>
        <w:pStyle w:val="Web"/>
        <w:rPr>
          <w:rFonts w:eastAsia="新細明體"/>
          <w:sz w:val="27"/>
          <w:szCs w:val="27"/>
        </w:rPr>
      </w:pPr>
      <w:bookmarkStart w:id="0" w:name="_GoBack"/>
      <w:bookmarkEnd w:id="0"/>
      <w:r>
        <w:rPr>
          <w:rStyle w:val="a4"/>
          <w:rFonts w:ascii="新細明體" w:eastAsia="新細明體" w:hAnsi="新細明體" w:hint="eastAsia"/>
          <w:color w:val="800000"/>
          <w:sz w:val="27"/>
          <w:szCs w:val="27"/>
        </w:rPr>
        <w:lastRenderedPageBreak/>
        <w:t>行政院及所屬機關因公出國搭乘本國籍航空班機作業規定</w:t>
      </w:r>
    </w:p>
    <w:p w:rsidR="00E84544" w:rsidRDefault="00E84544" w:rsidP="00E84544">
      <w:pPr>
        <w:pStyle w:val="Web"/>
        <w:tabs>
          <w:tab w:val="left" w:pos="8280"/>
        </w:tabs>
        <w:ind w:left="425" w:right="26" w:hangingChars="177" w:hanging="425"/>
        <w:rPr>
          <w:rFonts w:eastAsia="新細明體" w:hint="eastAsia"/>
        </w:rPr>
      </w:pPr>
      <w:r>
        <w:rPr>
          <w:rFonts w:ascii="新細明體" w:eastAsia="新細明體" w:hAnsi="新細明體" w:hint="eastAsia"/>
          <w:color w:val="800000"/>
        </w:rPr>
        <w:t>一、本院及所屬機關因公派員出國、返國或在國外出差，在本國籍航空公司班機到達地點，應一律搭乘本國籍航空公司班機。但有下列情形之</w:t>
      </w:r>
      <w:proofErr w:type="gramStart"/>
      <w:r>
        <w:rPr>
          <w:rFonts w:ascii="新細明體" w:eastAsia="新細明體" w:hAnsi="新細明體" w:hint="eastAsia"/>
          <w:color w:val="800000"/>
        </w:rPr>
        <w:t>一</w:t>
      </w:r>
      <w:proofErr w:type="gramEnd"/>
      <w:r>
        <w:rPr>
          <w:rFonts w:ascii="新細明體" w:eastAsia="新細明體" w:hAnsi="新細明體" w:hint="eastAsia"/>
          <w:color w:val="800000"/>
        </w:rPr>
        <w:t>者，得由本人</w:t>
      </w:r>
      <w:proofErr w:type="gramStart"/>
      <w:r>
        <w:rPr>
          <w:rFonts w:ascii="新細明體" w:eastAsia="新細明體" w:hAnsi="新細明體" w:hint="eastAsia"/>
          <w:color w:val="800000"/>
        </w:rPr>
        <w:t>填具因公出</w:t>
      </w:r>
      <w:proofErr w:type="gramEnd"/>
      <w:r>
        <w:rPr>
          <w:rFonts w:ascii="新細明體" w:eastAsia="新細明體" w:hAnsi="新細明體" w:hint="eastAsia"/>
          <w:color w:val="800000"/>
        </w:rPr>
        <w:t>國人員搭乘外國籍航空公司班機申請書（如附表），經機關首長核定後，改搭乘外國籍航空公司班機：</w:t>
      </w:r>
      <w:r>
        <w:rPr>
          <w:rFonts w:eastAsia="新細明體" w:hint="eastAsia"/>
        </w:rPr>
        <w:t xml:space="preserve"> </w:t>
      </w:r>
    </w:p>
    <w:p w:rsidR="00E84544" w:rsidRDefault="00E84544" w:rsidP="00E84544">
      <w:pPr>
        <w:pStyle w:val="Web"/>
        <w:tabs>
          <w:tab w:val="left" w:pos="8280"/>
        </w:tabs>
        <w:ind w:right="26"/>
        <w:rPr>
          <w:rFonts w:eastAsia="新細明體" w:hint="eastAsia"/>
        </w:rPr>
      </w:pPr>
      <w:r>
        <w:rPr>
          <w:rFonts w:ascii="新細明體" w:eastAsia="新細明體" w:hAnsi="新細明體"/>
          <w:color w:val="800000"/>
        </w:rPr>
        <w:t>(</w:t>
      </w:r>
      <w:proofErr w:type="gramStart"/>
      <w:r>
        <w:rPr>
          <w:rFonts w:ascii="新細明體" w:eastAsia="新細明體" w:hAnsi="新細明體"/>
          <w:color w:val="800000"/>
        </w:rPr>
        <w:t>一</w:t>
      </w:r>
      <w:proofErr w:type="gramEnd"/>
      <w:r>
        <w:rPr>
          <w:rFonts w:ascii="新細明體" w:eastAsia="新細明體" w:hAnsi="新細明體"/>
          <w:color w:val="800000"/>
        </w:rPr>
        <w:t>)出國、返國或轉機當日，本國籍航空公司班機客位已售滿。</w:t>
      </w:r>
    </w:p>
    <w:p w:rsidR="00E84544" w:rsidRDefault="00E84544" w:rsidP="00E84544">
      <w:pPr>
        <w:pStyle w:val="Web"/>
        <w:tabs>
          <w:tab w:val="left" w:pos="8280"/>
        </w:tabs>
        <w:ind w:right="26"/>
        <w:rPr>
          <w:rFonts w:eastAsia="新細明體" w:hint="eastAsia"/>
        </w:rPr>
      </w:pPr>
      <w:r>
        <w:rPr>
          <w:rFonts w:ascii="新細明體" w:eastAsia="新細明體" w:hAnsi="新細明體"/>
          <w:color w:val="800000"/>
        </w:rPr>
        <w:t>(二)出國、返國或轉機當日，無本國籍航空公司班機飛航。</w:t>
      </w:r>
    </w:p>
    <w:p w:rsidR="00E84544" w:rsidRDefault="00E84544" w:rsidP="00E84544">
      <w:pPr>
        <w:pStyle w:val="Web"/>
        <w:tabs>
          <w:tab w:val="left" w:pos="8280"/>
        </w:tabs>
        <w:ind w:right="26"/>
        <w:rPr>
          <w:rFonts w:eastAsia="新細明體" w:hint="eastAsia"/>
        </w:rPr>
      </w:pPr>
      <w:r>
        <w:rPr>
          <w:rFonts w:ascii="新細明體" w:eastAsia="新細明體" w:hAnsi="新細明體"/>
          <w:color w:val="800000"/>
        </w:rPr>
        <w:t>(三)搭乘本國籍航空公司班機再轉機，其轉機等待時間超過四小時。</w:t>
      </w:r>
    </w:p>
    <w:p w:rsidR="00E84544" w:rsidRDefault="00E84544" w:rsidP="00E84544">
      <w:pPr>
        <w:pStyle w:val="Web"/>
        <w:tabs>
          <w:tab w:val="left" w:pos="8280"/>
        </w:tabs>
        <w:ind w:right="26"/>
        <w:rPr>
          <w:rFonts w:eastAsia="新細明體" w:hint="eastAsia"/>
        </w:rPr>
      </w:pPr>
      <w:r>
        <w:rPr>
          <w:rFonts w:ascii="新細明體" w:eastAsia="新細明體" w:hAnsi="新細明體"/>
          <w:color w:val="800000"/>
        </w:rPr>
        <w:t>(四)本國籍航空公司班機無法銜接轉運。</w:t>
      </w:r>
    </w:p>
    <w:p w:rsidR="00E84544" w:rsidRDefault="00E84544" w:rsidP="00E84544">
      <w:pPr>
        <w:pStyle w:val="Web"/>
        <w:tabs>
          <w:tab w:val="left" w:pos="8280"/>
        </w:tabs>
        <w:ind w:right="26"/>
        <w:rPr>
          <w:rFonts w:eastAsia="新細明體" w:hint="eastAsia"/>
        </w:rPr>
      </w:pPr>
      <w:r>
        <w:rPr>
          <w:rFonts w:ascii="新細明體" w:eastAsia="新細明體" w:hAnsi="新細明體"/>
          <w:color w:val="800000"/>
        </w:rPr>
        <w:t>(五)其他特殊情況。</w:t>
      </w:r>
    </w:p>
    <w:p w:rsidR="00E84544" w:rsidRDefault="00E84544" w:rsidP="00E84544">
      <w:pPr>
        <w:pStyle w:val="Web"/>
        <w:tabs>
          <w:tab w:val="left" w:pos="8280"/>
        </w:tabs>
        <w:ind w:right="26"/>
        <w:rPr>
          <w:rFonts w:eastAsia="新細明體" w:hint="eastAsia"/>
        </w:rPr>
      </w:pPr>
      <w:r>
        <w:rPr>
          <w:rFonts w:ascii="新細明體" w:eastAsia="新細明體" w:hAnsi="新細明體" w:hint="eastAsia"/>
          <w:color w:val="800000"/>
        </w:rPr>
        <w:t>二、不依前點規定辦理者，其購買機票之價款，不予核銷。</w:t>
      </w:r>
    </w:p>
    <w:p w:rsidR="00E84544" w:rsidRDefault="00E84544" w:rsidP="00E84544">
      <w:pPr>
        <w:pStyle w:val="Web"/>
        <w:tabs>
          <w:tab w:val="left" w:pos="8280"/>
        </w:tabs>
        <w:ind w:right="26"/>
        <w:rPr>
          <w:rFonts w:eastAsia="新細明體" w:hint="eastAsia"/>
        </w:rPr>
      </w:pPr>
      <w:r>
        <w:rPr>
          <w:rFonts w:ascii="新細明體" w:eastAsia="新細明體" w:hAnsi="新細明體" w:hint="eastAsia"/>
          <w:color w:val="800000"/>
        </w:rPr>
        <w:t>三、經政府補助旅費之人民或團體，</w:t>
      </w:r>
      <w:proofErr w:type="gramStart"/>
      <w:r>
        <w:rPr>
          <w:rFonts w:ascii="新細明體" w:eastAsia="新細明體" w:hAnsi="新細明體" w:hint="eastAsia"/>
          <w:color w:val="800000"/>
        </w:rPr>
        <w:t>準</w:t>
      </w:r>
      <w:proofErr w:type="gramEnd"/>
      <w:r>
        <w:rPr>
          <w:rFonts w:ascii="新細明體" w:eastAsia="新細明體" w:hAnsi="新細明體" w:hint="eastAsia"/>
          <w:color w:val="800000"/>
        </w:rPr>
        <w:t>用前二點規定辦理。</w:t>
      </w:r>
    </w:p>
    <w:p w:rsidR="00E84544" w:rsidRPr="007C7D6E" w:rsidRDefault="00E84544" w:rsidP="00E84544">
      <w:pPr>
        <w:pStyle w:val="Web"/>
        <w:tabs>
          <w:tab w:val="left" w:pos="8280"/>
        </w:tabs>
        <w:ind w:left="425" w:right="26" w:hangingChars="177" w:hanging="425"/>
        <w:rPr>
          <w:rFonts w:ascii="新細明體" w:eastAsia="新細明體" w:hAnsi="新細明體" w:hint="eastAsia"/>
          <w:color w:val="800000"/>
        </w:rPr>
      </w:pPr>
      <w:r>
        <w:rPr>
          <w:rFonts w:ascii="新細明體" w:eastAsia="新細明體" w:hAnsi="新細明體" w:hint="eastAsia"/>
          <w:color w:val="800000"/>
        </w:rPr>
        <w:t>四、前點人民或團體之旅費，由我政府及有關外國政府共同補助時，其購票事宜，由雙方主辦單位協商決定。</w:t>
      </w:r>
    </w:p>
    <w:p w:rsidR="00FC2C92" w:rsidRPr="00E84544" w:rsidRDefault="00FC2C92"/>
    <w:sectPr w:rsidR="00FC2C92" w:rsidRPr="00E8454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0A78"/>
    <w:multiLevelType w:val="hybridMultilevel"/>
    <w:tmpl w:val="142E6F8A"/>
    <w:lvl w:ilvl="0" w:tplc="FEC43C38">
      <w:start w:val="1"/>
      <w:numFmt w:val="taiwaneseCountingThousand"/>
      <w:lvlText w:val="%1、"/>
      <w:lvlJc w:val="left"/>
      <w:pPr>
        <w:tabs>
          <w:tab w:val="num" w:pos="390"/>
        </w:tabs>
        <w:ind w:left="390" w:hanging="390"/>
      </w:pPr>
      <w:rPr>
        <w:rFonts w:hint="eastAsia"/>
      </w:rPr>
    </w:lvl>
    <w:lvl w:ilvl="1" w:tplc="96744F00">
      <w:start w:val="4"/>
      <w:numFmt w:val="bullet"/>
      <w:suff w:val="space"/>
      <w:lvlText w:val="□"/>
      <w:lvlJc w:val="left"/>
      <w:pPr>
        <w:ind w:left="720" w:hanging="240"/>
      </w:pPr>
      <w:rPr>
        <w:rFonts w:ascii="標楷體" w:eastAsia="標楷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92"/>
    <w:rsid w:val="007C7D6E"/>
    <w:rsid w:val="00E84544"/>
    <w:rsid w:val="00FC2C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Web">
    <w:name w:val="Normal (Web)"/>
    <w:basedOn w:val="a"/>
    <w:pPr>
      <w:widowControl/>
      <w:spacing w:before="100" w:beforeAutospacing="1" w:after="100" w:afterAutospacing="1"/>
    </w:pPr>
    <w:rPr>
      <w:rFonts w:ascii="Arial Unicode MS" w:eastAsia="Times New Roman" w:hAnsi="Arial Unicode MS"/>
      <w:kern w:val="0"/>
    </w:rPr>
  </w:style>
  <w:style w:type="character" w:styleId="a4">
    <w:name w:val="Strong"/>
    <w:basedOn w:val="a0"/>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Web">
    <w:name w:val="Normal (Web)"/>
    <w:basedOn w:val="a"/>
    <w:pPr>
      <w:widowControl/>
      <w:spacing w:before="100" w:beforeAutospacing="1" w:after="100" w:afterAutospacing="1"/>
    </w:pPr>
    <w:rPr>
      <w:rFonts w:ascii="Arial Unicode MS" w:eastAsia="Times New Roman" w:hAnsi="Arial Unicode MS"/>
      <w:kern w:val="0"/>
    </w:rPr>
  </w:style>
  <w:style w:type="character" w:styleId="a4">
    <w:name w:val="Strong"/>
    <w:basedOn w:val="a0"/>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52</Characters>
  <Application>Microsoft Office Word</Application>
  <DocSecurity>0</DocSecurity>
  <Lines>1</Lines>
  <Paragraphs>1</Paragraphs>
  <ScaleCrop>false</ScaleCrop>
  <Company>intumit</Company>
  <LinksUpToDate>false</LinksUpToDate>
  <CharactersWithSpaces>582</CharactersWithSpaces>
  <SharedDoc>false</SharedDoc>
  <HLinks>
    <vt:vector size="6" baseType="variant">
      <vt:variant>
        <vt:i4>7143510</vt:i4>
      </vt:variant>
      <vt:variant>
        <vt:i4>0</vt:i4>
      </vt:variant>
      <vt:variant>
        <vt:i4>0</vt:i4>
      </vt:variant>
      <vt:variant>
        <vt:i4>5</vt:i4>
      </vt:variant>
      <vt:variant>
        <vt:lpwstr>http://www.nsc.gov.tw/int/5_forms/tables/Z/Table-Z08.doc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壹、行政院及所屬機關軍公教人員因公出國搭乘本國籍航空班機作業規定</dc:title>
  <dc:creator>may</dc:creator>
  <cp:lastModifiedBy>user</cp:lastModifiedBy>
  <cp:revision>3</cp:revision>
  <cp:lastPrinted>2008-06-24T03:45:00Z</cp:lastPrinted>
  <dcterms:created xsi:type="dcterms:W3CDTF">2016-05-11T03:23:00Z</dcterms:created>
  <dcterms:modified xsi:type="dcterms:W3CDTF">2016-05-11T03:23:00Z</dcterms:modified>
</cp:coreProperties>
</file>