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AB" w:rsidRPr="008810AB" w:rsidRDefault="008810AB" w:rsidP="008810AB">
      <w:pPr>
        <w:jc w:val="center"/>
        <w:rPr>
          <w:rFonts w:ascii="標楷體" w:eastAsia="標楷體" w:hAnsi="標楷體"/>
          <w:b/>
          <w:sz w:val="28"/>
        </w:rPr>
      </w:pPr>
      <w:r w:rsidRPr="008810AB">
        <w:rPr>
          <w:rFonts w:ascii="標楷體" w:eastAsia="標楷體" w:hAnsi="標楷體" w:hint="eastAsia"/>
          <w:b/>
          <w:sz w:val="28"/>
        </w:rPr>
        <w:t>法鼓文理學院自我評鑑實施辦法</w:t>
      </w:r>
    </w:p>
    <w:p w:rsidR="008810AB" w:rsidRPr="008810AB" w:rsidRDefault="008810AB" w:rsidP="008810AB">
      <w:pPr>
        <w:rPr>
          <w:rFonts w:ascii="標楷體" w:eastAsia="標楷體" w:hAnsi="標楷體"/>
        </w:rPr>
      </w:pPr>
    </w:p>
    <w:p w:rsidR="008810AB" w:rsidRPr="008810AB" w:rsidRDefault="008810AB" w:rsidP="008810AB">
      <w:pPr>
        <w:ind w:firstLine="467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中華民國</w:t>
      </w:r>
      <w:r w:rsidRPr="008810AB">
        <w:rPr>
          <w:rFonts w:ascii="標楷體" w:eastAsia="標楷體" w:hAnsi="標楷體"/>
        </w:rPr>
        <w:t>102</w:t>
      </w:r>
      <w:r w:rsidRPr="008810AB">
        <w:rPr>
          <w:rFonts w:ascii="標楷體" w:eastAsia="標楷體" w:hAnsi="標楷體" w:hint="eastAsia"/>
        </w:rPr>
        <w:t>年</w:t>
      </w:r>
      <w:r w:rsidRPr="008810AB">
        <w:rPr>
          <w:rFonts w:ascii="標楷體" w:eastAsia="標楷體" w:hAnsi="標楷體"/>
        </w:rPr>
        <w:t>12</w:t>
      </w:r>
      <w:r w:rsidRPr="008810AB">
        <w:rPr>
          <w:rFonts w:ascii="標楷體" w:eastAsia="標楷體" w:hAnsi="標楷體" w:hint="eastAsia"/>
        </w:rPr>
        <w:t>月</w:t>
      </w:r>
      <w:r w:rsidRPr="008810AB">
        <w:rPr>
          <w:rFonts w:ascii="標楷體" w:eastAsia="標楷體" w:hAnsi="標楷體"/>
        </w:rPr>
        <w:t>11</w:t>
      </w:r>
      <w:r w:rsidRPr="008810AB">
        <w:rPr>
          <w:rFonts w:ascii="標楷體" w:eastAsia="標楷體" w:hAnsi="標楷體" w:hint="eastAsia"/>
        </w:rPr>
        <w:t>日第</w:t>
      </w:r>
      <w:r w:rsidRPr="008810AB">
        <w:rPr>
          <w:rFonts w:ascii="標楷體" w:eastAsia="標楷體" w:hAnsi="標楷體"/>
        </w:rPr>
        <w:t>2</w:t>
      </w:r>
      <w:r w:rsidRPr="008810AB">
        <w:rPr>
          <w:rFonts w:ascii="標楷體" w:eastAsia="標楷體" w:hAnsi="標楷體" w:hint="eastAsia"/>
        </w:rPr>
        <w:t>次行政會議通過</w:t>
      </w:r>
    </w:p>
    <w:p w:rsidR="008810AB" w:rsidRPr="008810AB" w:rsidRDefault="008810AB" w:rsidP="008810AB">
      <w:pPr>
        <w:ind w:firstLine="467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中華民國105年11月16日第2次行政會議通過</w:t>
      </w:r>
    </w:p>
    <w:p w:rsidR="008810AB" w:rsidRPr="008810AB" w:rsidRDefault="008810AB" w:rsidP="008810AB">
      <w:pPr>
        <w:ind w:firstLine="467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中華民國108年5月15日第4次行政會議通過</w:t>
      </w:r>
    </w:p>
    <w:p w:rsidR="008810AB" w:rsidRPr="008810AB" w:rsidRDefault="008810AB" w:rsidP="008810AB">
      <w:pPr>
        <w:ind w:firstLine="467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中華民國109年3月18日第3次行政會議通過</w:t>
      </w:r>
    </w:p>
    <w:p w:rsidR="008810AB" w:rsidRDefault="008810AB" w:rsidP="008810AB">
      <w:pPr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第一條  立法目的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本校為建立自我評鑑機制，以提昇整體教育品質，達成辦學績效，依《大學法》第五條及教育部大學評鑑辦法之規定，訂定「法鼓文理學院評鑑實施辦法（以下簡稱本辦法）。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第二條  適用對象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本辦法適用之評鑑類別與項目如下：</w:t>
      </w:r>
    </w:p>
    <w:p w:rsidR="008810AB" w:rsidRPr="008810AB" w:rsidRDefault="008810AB" w:rsidP="008810AB">
      <w:pPr>
        <w:snapToGrid w:val="0"/>
        <w:spacing w:after="120" w:line="288" w:lineRule="auto"/>
        <w:ind w:left="532" w:hanging="532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一、校務評鑑：評鑑各校級中心、教務、學生事務、總務、研究發展、國際事務、圖書、資訊、人事及會計等全校整體性事務。</w:t>
      </w:r>
    </w:p>
    <w:p w:rsidR="008810AB" w:rsidRDefault="008810AB" w:rsidP="008810AB">
      <w:pPr>
        <w:snapToGrid w:val="0"/>
        <w:spacing w:after="120" w:line="288" w:lineRule="auto"/>
        <w:ind w:left="532" w:hanging="532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二、學系、學群與通識教育評鑑：評鑑各教學單位（學系、學群、通識教育等）之教育目標、課程、教學、師資、學習資源、學習成效及畢業生生涯追蹤機制、自我改善機制等項。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第三條  自我評鑑組織架構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本校設評鑑指導委員會、校級評鑑委員會、系級評鑑委員會，各級委員會下另設工作小組，工作其工作及職掌如下：</w:t>
      </w:r>
    </w:p>
    <w:p w:rsidR="008810AB" w:rsidRPr="008810AB" w:rsidRDefault="008810AB" w:rsidP="008810AB">
      <w:pPr>
        <w:snapToGrid w:val="0"/>
        <w:spacing w:after="120" w:line="288" w:lineRule="auto"/>
        <w:ind w:left="490" w:hanging="490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一、評鑑指導委員會：指導全校(校務、</w:t>
      </w:r>
      <w:r w:rsidR="00235813">
        <w:rPr>
          <w:rFonts w:ascii="標楷體" w:eastAsia="標楷體" w:hAnsi="標楷體" w:hint="eastAsia"/>
        </w:rPr>
        <w:t>學系</w:t>
      </w:r>
      <w:r w:rsidRPr="008810AB">
        <w:rPr>
          <w:rFonts w:ascii="標楷體" w:eastAsia="標楷體" w:hAnsi="標楷體" w:hint="eastAsia"/>
        </w:rPr>
        <w:t>、學群與通識教育)評鑑相關事宜，對校級與系級評鑑委員會提出評鑑之具體建議事項，審核校級與系級之評鑑結果，並進行追蹤與考核。</w:t>
      </w:r>
    </w:p>
    <w:p w:rsidR="008810AB" w:rsidRPr="008810AB" w:rsidRDefault="008810AB" w:rsidP="008810AB">
      <w:pPr>
        <w:snapToGrid w:val="0"/>
        <w:spacing w:after="120" w:line="288" w:lineRule="auto"/>
        <w:ind w:left="490" w:hanging="490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二、校級評鑑委員會：負責校務評鑑之事務規劃、審議與管考，評鑑各校級中心、教研、學務、總務、圖書資訊、人事及會計等全校整體性事務，評鑑項目視當次評鑑所需而定，各單位應配合辦理。</w:t>
      </w:r>
    </w:p>
    <w:p w:rsidR="008810AB" w:rsidRPr="008810AB" w:rsidRDefault="008810AB" w:rsidP="008810AB">
      <w:pPr>
        <w:snapToGrid w:val="0"/>
        <w:spacing w:after="120" w:line="288" w:lineRule="auto"/>
        <w:ind w:left="490" w:hanging="490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三、系級評鑑委員會：負責學系、學群與通識教育評鑑之教育目標、課程、教學、師資、學習資源、學習成效及畢業生生涯追蹤機制等項。</w:t>
      </w:r>
    </w:p>
    <w:p w:rsidR="008810AB" w:rsidRDefault="008810AB" w:rsidP="008810AB">
      <w:pPr>
        <w:snapToGrid w:val="0"/>
        <w:spacing w:after="120" w:line="288" w:lineRule="auto"/>
        <w:ind w:left="490" w:hanging="490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四、工作小組：各級委員會下應設立工作小組，由召集人邀集相關單位人員，執行各類評鑑業務之推動，應涵括實施期程、推動計畫、資料蒐集與分析、會議討論及撰寫報告書等。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第四條　各級委員會成員</w:t>
      </w:r>
    </w:p>
    <w:p w:rsidR="008810AB" w:rsidRPr="008810AB" w:rsidRDefault="008810AB" w:rsidP="008810AB">
      <w:pPr>
        <w:snapToGrid w:val="0"/>
        <w:spacing w:after="120" w:line="288" w:lineRule="auto"/>
        <w:ind w:left="518" w:hanging="51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一、評鑑指導委員會：本委員會設置委員七人，由校長擔任召集人，副校長為當然委員，其</w:t>
      </w:r>
      <w:r w:rsidRPr="008810AB">
        <w:rPr>
          <w:rFonts w:ascii="標楷體" w:eastAsia="標楷體" w:hAnsi="標楷體" w:hint="eastAsia"/>
        </w:rPr>
        <w:lastRenderedPageBreak/>
        <w:t>餘委員由校長延聘校外具評鑑專業之專家學者代表共同組成，校外委員應占委員總數五分之三以上。</w:t>
      </w:r>
    </w:p>
    <w:p w:rsidR="008810AB" w:rsidRPr="008810AB" w:rsidRDefault="008810AB" w:rsidP="008810AB">
      <w:pPr>
        <w:snapToGrid w:val="0"/>
        <w:spacing w:after="120" w:line="288" w:lineRule="auto"/>
        <w:ind w:left="518" w:hanging="51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二、校級評鑑委員會：本委員會設置委員九至十一人，由校長擔任召集人，副校長為當然委員，其餘委員由校長自校內、外專家學者中遴聘組成，並得視需求邀請相關單位代表列席</w:t>
      </w:r>
      <w:r w:rsidR="00205395"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8810AB">
        <w:rPr>
          <w:rFonts w:ascii="標楷體" w:eastAsia="標楷體" w:hAnsi="標楷體" w:hint="eastAsia"/>
        </w:rPr>
        <w:t>其中校外委員須占委員總人數三分之一以上。</w:t>
      </w:r>
    </w:p>
    <w:p w:rsidR="008810AB" w:rsidRDefault="008810AB" w:rsidP="008810AB">
      <w:pPr>
        <w:snapToGrid w:val="0"/>
        <w:spacing w:after="120" w:line="288" w:lineRule="auto"/>
        <w:ind w:left="518" w:hanging="51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三、系級評鑑委員會：系級評鑑委員會由系主任、學群長、通識委員會主任擔任召集人，聘任評鑑委員五至七人為原則，校外委員須占委員總人數三分之一以上。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第五條 評鑑委員之聘任</w:t>
      </w:r>
    </w:p>
    <w:p w:rsidR="008810AB" w:rsidRPr="008810AB" w:rsidRDefault="008810AB" w:rsidP="008810AB">
      <w:pPr>
        <w:snapToGrid w:val="0"/>
        <w:spacing w:after="120" w:line="288" w:lineRule="auto"/>
        <w:ind w:left="504" w:hanging="504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一、評鑑委員之遴聘：各級評鑑委員會之召集人及委員，由校長聘任之。委員任期三年，期滿得予續聘。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二、評鑑委員應具備下列資格之一：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(一)具學術聲望，並曾擔任大學校長、院長、一級行政主管或相當職務者。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(二)對高教育教學品質與辦學成效具專業背景，且有相當學術聲望者。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(三)對大學事務熟稔，具有專業聲望，並曾擔任部門主管或相當職務之業界代表。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(四)專業領域之專家學者或業界代表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第六條  實施時程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本辦法適用對象每四年至七年應辦理自我評鑑一次為原則，必要時得調整評鑑時程，所需經費由校內預算編列之。本校各單位如獲教育部認可之國內外專業機構評鑑認證通過，可於有效期限內，提送國內外專業評鑑機構通過之證明文件，申請全部或部分評鑑項目免評鑑，經評鑑指導委員會審核通過後，免除評鑑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第七條  評鑑程序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評鑑程序包括受評單位書面審查、簡報、資料檢閱、場地及設備檢視，待釐清問題回覆及座談，並得依需要安排相關人員晤談。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第八條  評鑑內容</w:t>
      </w:r>
    </w:p>
    <w:p w:rsidR="008810AB" w:rsidRPr="008810AB" w:rsidRDefault="008810AB" w:rsidP="008810AB">
      <w:pPr>
        <w:snapToGrid w:val="0"/>
        <w:spacing w:after="120" w:line="288" w:lineRule="auto"/>
        <w:ind w:left="476" w:hanging="476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一、校務評鑑：應含學校定位及發展、辦學目標及特色、單位發展規劃、校務行政、教學、研究、行政服務、輔導、學生參與及自我改善成效、前次評鑑追蹤辦理成果、服務滿意度調查分析等事項。</w:t>
      </w:r>
    </w:p>
    <w:p w:rsidR="008810AB" w:rsidRDefault="008810AB" w:rsidP="008810AB">
      <w:pPr>
        <w:snapToGrid w:val="0"/>
        <w:spacing w:after="120" w:line="288" w:lineRule="auto"/>
        <w:ind w:left="476" w:hanging="476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二、學系、學群與通識教育評鑑：應含受評單位之教育目標、課程設計與輔導、教師教學、師資、學習資源、學生學習成效、行政管理及畢業生生涯追蹤等項目。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第九條  評鑑結果之呈現</w:t>
      </w:r>
    </w:p>
    <w:p w:rsidR="008810AB" w:rsidRPr="008810AB" w:rsidRDefault="008810AB" w:rsidP="008810AB">
      <w:pPr>
        <w:snapToGrid w:val="0"/>
        <w:spacing w:after="120" w:line="288" w:lineRule="auto"/>
        <w:ind w:left="518" w:hanging="518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一、評鑑委員應給予明確之評鑑結果及相對應之具體理由與建議，以呈現受評單位之優缺點與應興革事項。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二、評鑑結果應主動公告，並連結於校方公開網頁，以供利害關係人參考。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第十條  評鑑結果之管理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各類自我評鑑權責單位應對於評鑑結果提報相關會議，評鑑結果所列缺失事項，各受評單位對應訂定改善期程，逐條追蹤列管積極改進；對未能改善事項，應提出說明。改進結果並應列為下次自我評鑑之項目。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第十一條  教育訓練與研習</w:t>
      </w:r>
    </w:p>
    <w:p w:rsidR="008810AB" w:rsidRPr="008810AB" w:rsidRDefault="008810AB" w:rsidP="008810AB">
      <w:pPr>
        <w:snapToGrid w:val="0"/>
        <w:spacing w:after="120" w:line="288" w:lineRule="auto"/>
        <w:ind w:left="490" w:hanging="490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一、為提升各類評鑑專業知能，參與自我評鑑之業務推動、規劃與管考人員，應定期參與校內外舉辦之評鑑課程與研習。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二、各類評鑑權責單位應依業務推動需要，辦理說明會或指標內涵相關之研習課程。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第十二條  補充事項</w:t>
      </w:r>
    </w:p>
    <w:p w:rsid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本辦法未盡事宜，悉依教育部教育評鑑相關準則及本校相關規定辦理。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  <w:b/>
        </w:rPr>
      </w:pPr>
      <w:r w:rsidRPr="008810AB">
        <w:rPr>
          <w:rFonts w:ascii="標楷體" w:eastAsia="標楷體" w:hAnsi="標楷體" w:hint="eastAsia"/>
          <w:b/>
        </w:rPr>
        <w:t>第十三條  公布實施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  <w:r w:rsidRPr="008810AB">
        <w:rPr>
          <w:rFonts w:ascii="標楷體" w:eastAsia="標楷體" w:hAnsi="標楷體" w:hint="eastAsia"/>
        </w:rPr>
        <w:t>本辦法經行政會議通過後，陳請校長核定後公布施行，修正時亦同。</w:t>
      </w:r>
    </w:p>
    <w:p w:rsidR="008810AB" w:rsidRPr="008810AB" w:rsidRDefault="008810AB" w:rsidP="008810AB">
      <w:pPr>
        <w:snapToGrid w:val="0"/>
        <w:spacing w:after="120" w:line="288" w:lineRule="auto"/>
        <w:rPr>
          <w:rFonts w:ascii="標楷體" w:eastAsia="標楷體" w:hAnsi="標楷體"/>
        </w:rPr>
      </w:pPr>
    </w:p>
    <w:p w:rsidR="0067776B" w:rsidRPr="008810AB" w:rsidRDefault="0067776B" w:rsidP="0019227F">
      <w:pPr>
        <w:rPr>
          <w:rFonts w:ascii="標楷體" w:eastAsia="標楷體" w:hAnsi="標楷體"/>
        </w:rPr>
      </w:pPr>
    </w:p>
    <w:sectPr w:rsidR="0067776B" w:rsidRPr="008810AB" w:rsidSect="001922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7F"/>
    <w:rsid w:val="0019227F"/>
    <w:rsid w:val="00205395"/>
    <w:rsid w:val="00235813"/>
    <w:rsid w:val="0067776B"/>
    <w:rsid w:val="006E1893"/>
    <w:rsid w:val="008810AB"/>
    <w:rsid w:val="00AB3174"/>
    <w:rsid w:val="00E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7F"/>
    <w:pPr>
      <w:widowControl w:val="0"/>
      <w:suppressAutoHyphens/>
    </w:pPr>
    <w:rPr>
      <w:rFonts w:cs="Calibri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paragraph" w:styleId="Web">
    <w:name w:val="Normal (Web)"/>
    <w:basedOn w:val="a"/>
    <w:uiPriority w:val="99"/>
    <w:qFormat/>
    <w:rsid w:val="0019227F"/>
    <w:pPr>
      <w:widowControl/>
      <w:spacing w:before="280" w:after="280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7F"/>
    <w:pPr>
      <w:widowControl w:val="0"/>
      <w:suppressAutoHyphens/>
    </w:pPr>
    <w:rPr>
      <w:rFonts w:cs="Calibri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paragraph" w:styleId="Web">
    <w:name w:val="Normal (Web)"/>
    <w:basedOn w:val="a"/>
    <w:uiPriority w:val="99"/>
    <w:qFormat/>
    <w:rsid w:val="0019227F"/>
    <w:pPr>
      <w:widowControl/>
      <w:spacing w:before="280" w:after="280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2020-04-09T08:40:00Z</dcterms:created>
  <dcterms:modified xsi:type="dcterms:W3CDTF">2020-04-09T08:40:00Z</dcterms:modified>
</cp:coreProperties>
</file>