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jc w:val="center"/>
        <w:rPr>
          <w:rFonts w:ascii="華康仿宋體W6(P)" w:eastAsia="華康仿宋體W6(P)" w:hAnsi="新細明體" w:cs="標楷體" w:hint="eastAsia"/>
          <w:kern w:val="0"/>
          <w:sz w:val="28"/>
          <w:szCs w:val="28"/>
        </w:rPr>
      </w:pPr>
      <w:bookmarkStart w:id="0" w:name="_GoBack"/>
      <w:r w:rsidRPr="00824680">
        <w:rPr>
          <w:rFonts w:ascii="華康仿宋體W6(P)" w:eastAsia="華康仿宋體W6(P)" w:hAnsi="新細明體" w:cs="標楷體" w:hint="eastAsia"/>
          <w:kern w:val="0"/>
          <w:sz w:val="28"/>
          <w:szCs w:val="28"/>
        </w:rPr>
        <w:t>法鼓文理學院獎補助經費專責規劃小組設置要點</w:t>
      </w:r>
    </w:p>
    <w:bookmarkEnd w:id="0"/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beforeLines="50" w:before="180" w:afterLines="50" w:after="180" w:line="360" w:lineRule="atLeast"/>
        <w:jc w:val="right"/>
        <w:rPr>
          <w:rFonts w:ascii="華康仿宋體W6(P)" w:eastAsia="華康仿宋體W6(P)" w:hAnsi="新細明體" w:cs="標楷體" w:hint="eastAsia"/>
          <w:kern w:val="0"/>
          <w:szCs w:val="24"/>
        </w:rPr>
      </w:pPr>
      <w:r w:rsidRPr="00824680">
        <w:rPr>
          <w:rFonts w:ascii="華康仿宋體W6(P)" w:eastAsia="華康仿宋體W6(P)" w:hAnsi="新細明體" w:cs="標楷體" w:hint="eastAsia"/>
          <w:kern w:val="0"/>
          <w:szCs w:val="24"/>
          <w:lang w:eastAsia="zh-HK"/>
        </w:rPr>
        <w:t>中華民國108年11月13日108學年度第2次行政會議通過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="475" w:hangingChars="198" w:hanging="475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一、為有效執</w:t>
      </w:r>
      <w:r w:rsidRPr="00824680">
        <w:rPr>
          <w:rFonts w:ascii="新細明體" w:hAnsi="新細明體" w:cs="新細明體" w:hint="eastAsia"/>
          <w:kern w:val="0"/>
        </w:rPr>
        <w:t>行</w:t>
      </w:r>
      <w:r w:rsidRPr="00824680">
        <w:rPr>
          <w:rFonts w:ascii="華康仿宋體W6(P)" w:eastAsia="華康仿宋體W6(P)" w:hAnsi="新細明體" w:cs="華康仿宋體W6(P)" w:hint="eastAsia"/>
          <w:kern w:val="0"/>
        </w:rPr>
        <w:t>教育部獎補助經費之運用，並配合學校中長程發展計畫之推動，提升本校校務發展運作與特色，特設置「法鼓文理學院獎補助經費專責規劃小組」</w:t>
      </w:r>
      <w:r w:rsidRPr="00824680">
        <w:rPr>
          <w:rFonts w:ascii="華康仿宋體W6(P)" w:eastAsia="華康仿宋體W6(P)" w:hAnsi="新細明體" w:cs="標楷體" w:hint="eastAsia"/>
          <w:kern w:val="0"/>
        </w:rPr>
        <w:t xml:space="preserve">(以下簡稱本小組)。 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="475" w:hangingChars="198" w:hanging="475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二</w:t>
      </w:r>
      <w:r w:rsidRPr="00824680">
        <w:rPr>
          <w:rFonts w:ascii="華康仿宋體W6(P)" w:eastAsia="華康仿宋體W6(P)" w:hAnsi="新細明體" w:cs="標楷體" w:hint="eastAsia"/>
          <w:kern w:val="0"/>
        </w:rPr>
        <w:t>、本小組委員由校長、副校長、主任秘書、學</w:t>
      </w:r>
      <w:proofErr w:type="gramStart"/>
      <w:r w:rsidRPr="00824680">
        <w:rPr>
          <w:rFonts w:ascii="華康仿宋體W6(P)" w:eastAsia="華康仿宋體W6(P)" w:hAnsi="新細明體" w:cs="標楷體" w:hint="eastAsia"/>
          <w:kern w:val="0"/>
        </w:rPr>
        <w:t>務</w:t>
      </w:r>
      <w:proofErr w:type="gramEnd"/>
      <w:r w:rsidRPr="00824680">
        <w:rPr>
          <w:rFonts w:ascii="華康仿宋體W6(P)" w:eastAsia="華康仿宋體W6(P)" w:hAnsi="新細明體" w:cs="標楷體" w:hint="eastAsia"/>
          <w:kern w:val="0"/>
        </w:rPr>
        <w:t>長、總務長、人事主任、會計主任、佛教學系主任、</w:t>
      </w: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人文</w:t>
      </w:r>
      <w:proofErr w:type="gramStart"/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社會</w:t>
      </w:r>
      <w:r w:rsidRPr="00824680">
        <w:rPr>
          <w:rFonts w:ascii="華康仿宋體W6(P)" w:eastAsia="華康仿宋體W6(P)" w:hAnsi="新細明體" w:cs="標楷體" w:hint="eastAsia"/>
          <w:kern w:val="0"/>
        </w:rPr>
        <w:t>學群長</w:t>
      </w:r>
      <w:proofErr w:type="gramEnd"/>
      <w:r w:rsidRPr="00824680">
        <w:rPr>
          <w:rFonts w:ascii="華康仿宋體W6(P)" w:eastAsia="華康仿宋體W6(P)" w:hAnsi="新細明體" w:cs="標楷體" w:hint="eastAsia"/>
          <w:kern w:val="0"/>
        </w:rPr>
        <w:t>、禪文化</w:t>
      </w:r>
      <w:proofErr w:type="gramStart"/>
      <w:r w:rsidRPr="00824680">
        <w:rPr>
          <w:rFonts w:ascii="華康仿宋體W6(P)" w:eastAsia="華康仿宋體W6(P)" w:hAnsi="新細明體" w:cs="標楷體" w:hint="eastAsia"/>
          <w:kern w:val="0"/>
        </w:rPr>
        <w:t>研</w:t>
      </w:r>
      <w:proofErr w:type="gramEnd"/>
      <w:r w:rsidRPr="00824680">
        <w:rPr>
          <w:rFonts w:ascii="華康仿宋體W6(P)" w:eastAsia="華康仿宋體W6(P)" w:hAnsi="新細明體" w:cs="標楷體" w:hint="eastAsia"/>
          <w:kern w:val="0"/>
        </w:rPr>
        <w:t>修中心主任、心靈環保研究中心主任、</w:t>
      </w: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圖書資訊館</w:t>
      </w:r>
      <w:r w:rsidRPr="00824680">
        <w:rPr>
          <w:rFonts w:ascii="華康仿宋體W6(P)" w:eastAsia="華康仿宋體W6(P)" w:hAnsi="新細明體" w:cs="標楷體" w:hint="eastAsia"/>
          <w:kern w:val="0"/>
        </w:rPr>
        <w:t>館長、</w:t>
      </w: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推廣教育中心主任</w:t>
      </w:r>
      <w:r w:rsidRPr="00824680">
        <w:rPr>
          <w:rFonts w:ascii="華康仿宋體W6(P)" w:eastAsia="華康仿宋體W6(P)" w:hAnsi="新細明體" w:cs="標楷體" w:hint="eastAsia"/>
          <w:kern w:val="0"/>
        </w:rPr>
        <w:t>組成。另視需要得邀請校內相關業務單位主管或代表列席說明。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="475" w:hangingChars="198" w:hanging="475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三、本小組視實際需要召開會議，由校長召集並主持之。</w:t>
      </w: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校長不克出席時，</w:t>
      </w:r>
      <w:r w:rsidRPr="00824680">
        <w:rPr>
          <w:rFonts w:ascii="華康仿宋體W6(P)" w:eastAsia="華康仿宋體W6(P)" w:hAnsi="新細明體" w:cs="標楷體" w:hint="eastAsia"/>
          <w:kern w:val="0"/>
        </w:rPr>
        <w:t>得指定委員一人代理</w:t>
      </w: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主持</w:t>
      </w:r>
      <w:r w:rsidRPr="00824680">
        <w:rPr>
          <w:rFonts w:ascii="華康仿宋體W6(P)" w:eastAsia="華康仿宋體W6(P)" w:hAnsi="新細明體" w:cs="標楷體" w:hint="eastAsia"/>
          <w:kern w:val="0"/>
        </w:rPr>
        <w:t>。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="475" w:hangingChars="198" w:hanging="475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四、 本小組工作職掌如下：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Chars="236" w:left="847" w:hangingChars="117" w:hanging="281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(</w:t>
      </w:r>
      <w:proofErr w:type="gramStart"/>
      <w:r w:rsidRPr="00824680">
        <w:rPr>
          <w:rFonts w:ascii="華康仿宋體W6(P)" w:eastAsia="華康仿宋體W6(P)" w:hAnsi="新細明體" w:cs="標楷體" w:hint="eastAsia"/>
          <w:kern w:val="0"/>
        </w:rPr>
        <w:t>一</w:t>
      </w:r>
      <w:proofErr w:type="gramEnd"/>
      <w:r w:rsidRPr="00824680">
        <w:rPr>
          <w:rFonts w:ascii="華康仿宋體W6(P)" w:eastAsia="華康仿宋體W6(P)" w:hAnsi="新細明體" w:cs="標楷體" w:hint="eastAsia"/>
          <w:kern w:val="0"/>
        </w:rPr>
        <w:t>)依據校務發展計畫書，規劃獎補助經費支用。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Chars="236" w:left="847" w:hangingChars="117" w:hanging="281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(二)審議各單位提出之獎補助經費支用計畫。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Chars="236" w:left="847" w:hangingChars="117" w:hanging="281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(三)審核獎補助經費運用之範圍、項目及分配比</w:t>
      </w:r>
      <w:r w:rsidRPr="00824680">
        <w:rPr>
          <w:rFonts w:ascii="新細明體" w:hAnsi="新細明體" w:cs="新細明體" w:hint="eastAsia"/>
          <w:kern w:val="0"/>
        </w:rPr>
        <w:t>例</w:t>
      </w:r>
      <w:r w:rsidRPr="00824680">
        <w:rPr>
          <w:rFonts w:ascii="華康仿宋體W6(P)" w:eastAsia="華康仿宋體W6(P)" w:hAnsi="新細明體" w:cs="華康仿宋體W6(P)" w:hint="eastAsia"/>
          <w:kern w:val="0"/>
        </w:rPr>
        <w:t>等事項。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Chars="236" w:left="847" w:hangingChars="117" w:hanging="281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(四)其他與教育部獎補助經費規劃與支用相關之事務。</w:t>
      </w:r>
    </w:p>
    <w:p w:rsidR="00824680" w:rsidRPr="00824680" w:rsidRDefault="00824680" w:rsidP="00824680">
      <w:pPr>
        <w:suppressAutoHyphens w:val="0"/>
        <w:autoSpaceDE w:val="0"/>
        <w:autoSpaceDN w:val="0"/>
        <w:adjustRightInd w:val="0"/>
        <w:snapToGrid w:val="0"/>
        <w:spacing w:line="360" w:lineRule="atLeast"/>
        <w:ind w:left="475" w:hangingChars="198" w:hanging="475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</w:rPr>
        <w:t>五、本小組會議召開時，應有全體委員三分之二以上出席，議決事項應有出席委員二分之一以上同意，方為通過。</w:t>
      </w:r>
    </w:p>
    <w:p w:rsidR="00824680" w:rsidRPr="00824680" w:rsidRDefault="00824680" w:rsidP="00824680">
      <w:pPr>
        <w:suppressAutoHyphens w:val="0"/>
        <w:snapToGrid w:val="0"/>
        <w:spacing w:line="360" w:lineRule="atLeast"/>
        <w:ind w:left="850" w:hangingChars="354" w:hanging="850"/>
        <w:rPr>
          <w:rFonts w:ascii="華康仿宋體W6(P)" w:eastAsia="華康仿宋體W6(P)" w:hAnsi="新細明體" w:cs="標楷體" w:hint="eastAsia"/>
          <w:kern w:val="0"/>
        </w:rPr>
      </w:pP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六</w:t>
      </w:r>
      <w:r w:rsidRPr="00824680">
        <w:rPr>
          <w:rFonts w:ascii="華康仿宋體W6(P)" w:eastAsia="華康仿宋體W6(P)" w:hAnsi="新細明體" w:cs="標楷體" w:hint="eastAsia"/>
          <w:kern w:val="0"/>
        </w:rPr>
        <w:t>、本</w:t>
      </w: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要點</w:t>
      </w:r>
      <w:r w:rsidRPr="00824680">
        <w:rPr>
          <w:rFonts w:ascii="華康仿宋體W6(P)" w:eastAsia="華康仿宋體W6(P)" w:hAnsi="新細明體" w:cs="標楷體" w:hint="eastAsia"/>
          <w:kern w:val="0"/>
        </w:rPr>
        <w:t>經行政會議通過，報請校長核定後公布</w:t>
      </w:r>
      <w:r w:rsidRPr="00824680">
        <w:rPr>
          <w:rFonts w:ascii="華康仿宋體W6(P)" w:eastAsia="華康仿宋體W6(P)" w:hAnsi="新細明體" w:cs="標楷體" w:hint="eastAsia"/>
          <w:kern w:val="0"/>
          <w:lang w:eastAsia="zh-HK"/>
        </w:rPr>
        <w:t>實</w:t>
      </w:r>
      <w:r w:rsidRPr="00824680">
        <w:rPr>
          <w:rFonts w:ascii="華康仿宋體W6(P)" w:eastAsia="華康仿宋體W6(P)" w:hAnsi="新細明體" w:cs="標楷體" w:hint="eastAsia"/>
          <w:kern w:val="0"/>
        </w:rPr>
        <w:t>施，修正時亦同。</w:t>
      </w:r>
    </w:p>
    <w:p w:rsidR="00D7387C" w:rsidRPr="00824680" w:rsidRDefault="00D7387C"/>
    <w:sectPr w:rsidR="00D7387C" w:rsidRPr="00824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Malgun Gothic Semilight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80"/>
    <w:rsid w:val="00824680"/>
    <w:rsid w:val="00D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B096"/>
  <w15:chartTrackingRefBased/>
  <w15:docId w15:val="{D9DB1950-5115-452F-86F5-172FB11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80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ymlin</dc:creator>
  <cp:keywords/>
  <dc:description/>
  <cp:lastModifiedBy>ymlin</cp:lastModifiedBy>
  <cp:revision>1</cp:revision>
  <dcterms:created xsi:type="dcterms:W3CDTF">2019-11-25T14:55:00Z</dcterms:created>
  <dcterms:modified xsi:type="dcterms:W3CDTF">2019-11-25T14:56:00Z</dcterms:modified>
</cp:coreProperties>
</file>