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B6" w:rsidRPr="005106B6" w:rsidRDefault="005106B6" w:rsidP="00874A42">
      <w:pPr>
        <w:widowControl/>
        <w:suppressAutoHyphens w:val="0"/>
        <w:spacing w:afterLines="100" w:after="360"/>
        <w:jc w:val="center"/>
        <w:rPr>
          <w:rFonts w:ascii="華康仿宋體W6(P)" w:eastAsia="華康仿宋體W6(P)" w:hAnsi="標楷體"/>
          <w:kern w:val="0"/>
          <w:sz w:val="36"/>
          <w:szCs w:val="36"/>
        </w:rPr>
      </w:pPr>
      <w:r w:rsidRPr="005106B6">
        <w:rPr>
          <w:rFonts w:ascii="華康仿宋體W6(P)" w:eastAsia="華康仿宋體W6(P)" w:hAnsi="標楷體" w:hint="eastAsia"/>
          <w:kern w:val="0"/>
          <w:sz w:val="36"/>
          <w:szCs w:val="36"/>
        </w:rPr>
        <w:t>法鼓文理學院</w:t>
      </w:r>
      <w:r w:rsidRPr="005106B6">
        <w:rPr>
          <w:rFonts w:ascii="華康仿宋體W6(P)" w:eastAsia="華康仿宋體W6(P)" w:hint="eastAsia"/>
          <w:kern w:val="0"/>
          <w:sz w:val="36"/>
          <w:szCs w:val="36"/>
        </w:rPr>
        <w:t>校務發展計畫經費編列</w:t>
      </w:r>
      <w:r w:rsidRPr="005106B6">
        <w:rPr>
          <w:rFonts w:ascii="華康仿宋體W6(P)" w:eastAsia="華康仿宋體W6(P)" w:hint="eastAsia"/>
          <w:b/>
          <w:kern w:val="0"/>
          <w:sz w:val="36"/>
          <w:szCs w:val="36"/>
        </w:rPr>
        <w:t>基準</w:t>
      </w:r>
      <w:r w:rsidRPr="005106B6">
        <w:rPr>
          <w:rFonts w:ascii="華康仿宋體W6(P)" w:eastAsia="華康仿宋體W6(P)" w:hint="eastAsia"/>
          <w:kern w:val="0"/>
          <w:sz w:val="36"/>
          <w:szCs w:val="36"/>
        </w:rPr>
        <w:t>表</w:t>
      </w:r>
    </w:p>
    <w:p w:rsidR="005106B6" w:rsidRPr="005106B6" w:rsidRDefault="005106B6" w:rsidP="005106B6">
      <w:pPr>
        <w:snapToGrid w:val="0"/>
        <w:spacing w:line="360" w:lineRule="atLeast"/>
        <w:jc w:val="right"/>
        <w:rPr>
          <w:rFonts w:ascii="華康仿宋體W6(P)" w:eastAsia="華康仿宋體W6(P)" w:hAnsi="標楷體"/>
          <w:b/>
          <w:szCs w:val="24"/>
        </w:rPr>
      </w:pPr>
      <w:r w:rsidRPr="005106B6">
        <w:rPr>
          <w:rFonts w:ascii="華康仿宋體W6(P)" w:eastAsia="華康仿宋體W6(P)" w:hAnsi="標楷體" w:hint="eastAsia"/>
          <w:b/>
          <w:szCs w:val="24"/>
          <w:lang w:eastAsia="zh-HK"/>
        </w:rPr>
        <w:t>中華民國</w:t>
      </w:r>
      <w:r w:rsidRPr="005106B6">
        <w:rPr>
          <w:rFonts w:ascii="華康仿宋體W6(P)" w:eastAsia="華康仿宋體W6(P)" w:hAnsi="標楷體" w:hint="eastAsia"/>
          <w:b/>
          <w:szCs w:val="24"/>
        </w:rPr>
        <w:t>109年9月23日109學年度第1次行政會議通過</w:t>
      </w:r>
    </w:p>
    <w:p w:rsidR="005106B6" w:rsidRPr="005106B6" w:rsidRDefault="005106B6" w:rsidP="005106B6">
      <w:pPr>
        <w:snapToGrid w:val="0"/>
        <w:spacing w:line="360" w:lineRule="atLeast"/>
        <w:jc w:val="right"/>
        <w:rPr>
          <w:rFonts w:ascii="華康仿宋體W6(P)" w:eastAsia="華康仿宋體W6(P)" w:hAnsi="標楷體"/>
          <w:b/>
          <w:color w:val="0000FF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7"/>
        <w:gridCol w:w="3868"/>
        <w:gridCol w:w="3509"/>
      </w:tblGrid>
      <w:tr w:rsidR="005106B6" w:rsidRPr="005106B6" w:rsidTr="00F5108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5106B6" w:rsidRDefault="005106B6" w:rsidP="00874A42">
            <w:pPr>
              <w:suppressAutoHyphens w:val="0"/>
              <w:jc w:val="center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5106B6" w:rsidRDefault="005106B6" w:rsidP="00874A42">
            <w:pPr>
              <w:suppressAutoHyphens w:val="0"/>
              <w:jc w:val="center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編列基準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5106B6" w:rsidRDefault="005106B6" w:rsidP="00874A42">
            <w:pPr>
              <w:suppressAutoHyphens w:val="0"/>
              <w:jc w:val="center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備註</w:t>
            </w:r>
          </w:p>
        </w:tc>
      </w:tr>
      <w:tr w:rsidR="005106B6" w:rsidRPr="005106B6" w:rsidTr="005106B6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106B6" w:rsidRPr="005106B6" w:rsidRDefault="005106B6" w:rsidP="005106B6">
            <w:pPr>
              <w:suppressAutoHyphens w:val="0"/>
              <w:jc w:val="center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人事費</w:t>
            </w:r>
          </w:p>
        </w:tc>
      </w:tr>
      <w:tr w:rsidR="005106B6" w:rsidRPr="005106B6" w:rsidTr="00F5108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5106B6" w:rsidRDefault="005106B6" w:rsidP="005106B6">
            <w:pPr>
              <w:suppressAutoHyphens w:val="0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專任教師薪資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96275A">
            <w:pPr>
              <w:jc w:val="both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經費以獎補助款之百分之二十為限。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96275A">
            <w:pPr>
              <w:jc w:val="both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每年由獎補助小組審查核定。</w:t>
            </w:r>
          </w:p>
        </w:tc>
      </w:tr>
      <w:tr w:rsidR="005106B6" w:rsidRPr="005106B6" w:rsidTr="00F5108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5106B6" w:rsidRDefault="005106B6" w:rsidP="005106B6">
            <w:pPr>
              <w:suppressAutoHyphens w:val="0"/>
              <w:rPr>
                <w:rFonts w:ascii="華康仿宋體W6(P)" w:eastAsia="華康仿宋體W6(P)"/>
                <w:b/>
                <w:kern w:val="0"/>
                <w:szCs w:val="24"/>
              </w:rPr>
            </w:pPr>
            <w:r w:rsidRPr="005106B6">
              <w:rPr>
                <w:rFonts w:ascii="華康仿宋體W6(P)" w:eastAsia="華康仿宋體W6(P)" w:hint="eastAsia"/>
                <w:b/>
                <w:kern w:val="0"/>
                <w:szCs w:val="24"/>
              </w:rPr>
              <w:t>教研人員彈性薪資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96275A">
            <w:pPr>
              <w:jc w:val="both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依本校「獎勵特殊優秀人才作業要點」規定辦理。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96275A">
            <w:pPr>
              <w:jc w:val="both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由學系、學群向研發組提出申請。</w:t>
            </w:r>
          </w:p>
        </w:tc>
      </w:tr>
      <w:tr w:rsidR="005106B6" w:rsidRPr="005106B6" w:rsidTr="005106B6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106B6" w:rsidRPr="007870E2" w:rsidRDefault="005106B6" w:rsidP="005106B6">
            <w:pPr>
              <w:suppressAutoHyphens w:val="0"/>
              <w:jc w:val="center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7870E2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教學研究經費</w:t>
            </w:r>
          </w:p>
        </w:tc>
      </w:tr>
      <w:tr w:rsidR="005106B6" w:rsidRPr="005106B6" w:rsidTr="00F5108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5106B6" w:rsidRDefault="005106B6" w:rsidP="005106B6">
            <w:pPr>
              <w:suppressAutoHyphens w:val="0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補助及獎勵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874A42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獎助教師編纂教材、製作教具、改進教學、研究、研習、進修、著作等教學研究補助。</w:t>
            </w:r>
          </w:p>
          <w:p w:rsidR="005106B6" w:rsidRPr="0096275A" w:rsidRDefault="005106B6" w:rsidP="00874A42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kern w:val="24"/>
              </w:rPr>
            </w:pPr>
            <w:r w:rsidRPr="0096275A">
              <w:rPr>
                <w:rFonts w:ascii="標楷體" w:eastAsia="標楷體" w:hAnsi="標楷體" w:hint="eastAsia"/>
                <w:kern w:val="24"/>
              </w:rPr>
              <w:t>獎助學生出國學習專業佛典語言。</w:t>
            </w:r>
          </w:p>
          <w:p w:rsidR="005106B6" w:rsidRPr="007870E2" w:rsidRDefault="005106B6" w:rsidP="00874A42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獎助境外學生短期出國研修學分。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7A39E8" w:rsidP="00874A42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依校</w:t>
            </w:r>
            <w:bookmarkStart w:id="0" w:name="_GoBack"/>
            <w:bookmarkEnd w:id="0"/>
            <w:r w:rsidR="005106B6" w:rsidRPr="007870E2">
              <w:rPr>
                <w:rFonts w:ascii="標楷體" w:eastAsia="標楷體" w:hAnsi="標楷體" w:hint="eastAsia"/>
              </w:rPr>
              <w:t>務發展計畫實際核定費調整名額。</w:t>
            </w:r>
          </w:p>
          <w:p w:rsidR="005106B6" w:rsidRPr="007870E2" w:rsidRDefault="005106B6" w:rsidP="00874A42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校內簽請核定後執行。</w:t>
            </w:r>
          </w:p>
        </w:tc>
      </w:tr>
      <w:tr w:rsidR="005106B6" w:rsidRPr="005106B6" w:rsidTr="00F5108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5106B6" w:rsidRDefault="005106B6" w:rsidP="005106B6">
            <w:pPr>
              <w:suppressAutoHyphens w:val="0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升等審查費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874A42">
            <w:pPr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由人事室、學系、學群編列。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874A42">
            <w:pPr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校內簽請核定後執行。</w:t>
            </w:r>
          </w:p>
        </w:tc>
      </w:tr>
      <w:tr w:rsidR="005106B6" w:rsidRPr="005106B6" w:rsidTr="00F5108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5106B6" w:rsidRDefault="005106B6" w:rsidP="005106B6">
            <w:pPr>
              <w:suppressAutoHyphens w:val="0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兼任教學、研究助理薪資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874A42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校務發展計畫經費支應每月3,000至5,000元。</w:t>
            </w:r>
          </w:p>
          <w:p w:rsidR="005106B6" w:rsidRPr="007870E2" w:rsidRDefault="005106B6" w:rsidP="00874A42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不足支經費由校內配合款支應。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874A42">
            <w:pPr>
              <w:pStyle w:val="a7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依規定教學、研究助理薪資(含勞健退)歸於教學研究經費項下。</w:t>
            </w:r>
          </w:p>
          <w:p w:rsidR="005106B6" w:rsidRPr="007870E2" w:rsidRDefault="005106B6" w:rsidP="00874A42">
            <w:pPr>
              <w:pStyle w:val="a7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校內簽請核定後執行。</w:t>
            </w:r>
          </w:p>
        </w:tc>
      </w:tr>
      <w:tr w:rsidR="005106B6" w:rsidRPr="005106B6" w:rsidTr="00F5108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5106B6" w:rsidRDefault="005106B6" w:rsidP="005106B6">
            <w:pPr>
              <w:suppressAutoHyphens w:val="0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兼任教學、研究助理勞、健、退經費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874A42">
            <w:pPr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依人事室規定辦理。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874A42">
            <w:pPr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校內簽請核定後執行。</w:t>
            </w:r>
          </w:p>
        </w:tc>
      </w:tr>
      <w:tr w:rsidR="005106B6" w:rsidRPr="005106B6" w:rsidTr="00F5108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5106B6" w:rsidRDefault="005106B6" w:rsidP="005106B6">
            <w:pPr>
              <w:suppressAutoHyphens w:val="0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專家演講費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874A42">
            <w:pPr>
              <w:pStyle w:val="a7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依本校「專題演講費、出席費支給標準表」規定辦理。</w:t>
            </w:r>
          </w:p>
          <w:p w:rsidR="005106B6" w:rsidRPr="007870E2" w:rsidRDefault="005106B6" w:rsidP="00874A42">
            <w:pPr>
              <w:pStyle w:val="a7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「心靈環保講座」依本校「心靈環保講座實施要點」規定辦理。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2" w:rsidRPr="007870E2" w:rsidRDefault="005106B6" w:rsidP="00874A42">
            <w:pPr>
              <w:pStyle w:val="a7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依「行政院講座鐘點費支給表」，獎補助款講座鐘點費支給上限：</w:t>
            </w:r>
          </w:p>
          <w:p w:rsidR="005106B6" w:rsidRPr="007870E2" w:rsidRDefault="005106B6" w:rsidP="00874A42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外聘國內專家學者，支給上限為2,000元。</w:t>
            </w:r>
          </w:p>
          <w:p w:rsidR="005106B6" w:rsidRPr="007870E2" w:rsidRDefault="005106B6" w:rsidP="007870E2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pacing w:val="-4"/>
                <w:kern w:val="24"/>
              </w:rPr>
            </w:pPr>
            <w:r w:rsidRPr="007870E2">
              <w:rPr>
                <w:rFonts w:ascii="標楷體" w:eastAsia="標楷體" w:hAnsi="標楷體" w:hint="eastAsia"/>
                <w:spacing w:val="-4"/>
                <w:kern w:val="24"/>
              </w:rPr>
              <w:t>外聘之與主辦機關(構)、學校有隸屬關係之機關(構)學校人員，支給上限為1,500元。</w:t>
            </w:r>
          </w:p>
          <w:p w:rsidR="00874A42" w:rsidRPr="007870E2" w:rsidRDefault="005106B6" w:rsidP="00874A42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內聘之主辦機關(構)、學校人員，支給上限為1,000元。</w:t>
            </w:r>
          </w:p>
          <w:p w:rsidR="005106B6" w:rsidRPr="007870E2" w:rsidRDefault="005106B6" w:rsidP="00874A42">
            <w:pPr>
              <w:pStyle w:val="a7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pacing w:val="-4"/>
                <w:kern w:val="24"/>
              </w:rPr>
            </w:pPr>
            <w:r w:rsidRPr="007870E2">
              <w:rPr>
                <w:rFonts w:ascii="標楷體" w:eastAsia="標楷體" w:hAnsi="標楷體" w:hint="eastAsia"/>
                <w:spacing w:val="-4"/>
                <w:kern w:val="24"/>
              </w:rPr>
              <w:t>不足經費由校內配合款支應。</w:t>
            </w:r>
          </w:p>
          <w:p w:rsidR="005106B6" w:rsidRPr="007870E2" w:rsidRDefault="005106B6" w:rsidP="00874A42">
            <w:pPr>
              <w:pStyle w:val="a7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校內簽請核定後執行。</w:t>
            </w:r>
          </w:p>
        </w:tc>
      </w:tr>
      <w:tr w:rsidR="005106B6" w:rsidRPr="005106B6" w:rsidTr="00F5108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5106B6" w:rsidRDefault="005106B6" w:rsidP="005106B6">
            <w:pPr>
              <w:suppressAutoHyphens w:val="0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交通費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96275A">
            <w:pPr>
              <w:spacing w:afterLines="100" w:after="36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依本校「專題演講費、出席費支給標準表」規定辦理。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874A42">
            <w:pPr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校內簽請核定後執行。</w:t>
            </w:r>
          </w:p>
        </w:tc>
      </w:tr>
      <w:tr w:rsidR="005106B6" w:rsidRPr="005106B6" w:rsidTr="00F51086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6B6" w:rsidRPr="005106B6" w:rsidRDefault="005106B6" w:rsidP="005106B6">
            <w:pPr>
              <w:suppressAutoHyphens w:val="0"/>
              <w:snapToGrid w:val="0"/>
              <w:spacing w:line="240" w:lineRule="atLeast"/>
              <w:rPr>
                <w:rFonts w:ascii="華康仿宋體W6(P)" w:eastAsia="華康仿宋體W6(P)" w:hAnsi="華康仿宋體W6(P)" w:cs="Arial Unicode MS"/>
                <w:kern w:val="0"/>
                <w:szCs w:val="24"/>
              </w:rPr>
            </w:pPr>
            <w:r w:rsidRPr="005106B6">
              <w:rPr>
                <w:rFonts w:ascii="華康仿宋體W6(P)" w:eastAsia="華康仿宋體W6(P)" w:hAnsi="華康仿宋體W6(P)" w:cs="Arial Unicode MS" w:hint="eastAsia"/>
                <w:b/>
                <w:kern w:val="0"/>
                <w:szCs w:val="24"/>
              </w:rPr>
              <w:lastRenderedPageBreak/>
              <w:t>資料蒐集費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6B6" w:rsidRPr="007870E2" w:rsidRDefault="005106B6" w:rsidP="00874A42">
            <w:pPr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凡辦理校務計畫所須購置或影印必需之參考圖書資料等屬之，上限30,000元。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6B6" w:rsidRPr="007870E2" w:rsidRDefault="005106B6" w:rsidP="00874A42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以具有專門性且與校務計畫直接有關者為限。</w:t>
            </w:r>
          </w:p>
          <w:p w:rsidR="005106B6" w:rsidRPr="007870E2" w:rsidRDefault="005106B6" w:rsidP="00874A42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檢附廠商發票核實報支。</w:t>
            </w:r>
          </w:p>
          <w:p w:rsidR="005106B6" w:rsidRPr="007870E2" w:rsidRDefault="005106B6" w:rsidP="007870E2">
            <w:pPr>
              <w:pStyle w:val="a7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spacing w:val="-4"/>
                <w:kern w:val="24"/>
              </w:rPr>
            </w:pPr>
            <w:r w:rsidRPr="007870E2">
              <w:rPr>
                <w:rFonts w:ascii="標楷體" w:eastAsia="標楷體" w:hAnsi="標楷體" w:hint="eastAsia"/>
                <w:spacing w:val="-4"/>
                <w:kern w:val="24"/>
              </w:rPr>
              <w:t>研究計畫或業務單位採購之圖書會科列於「書報雜誌費」。</w:t>
            </w:r>
          </w:p>
        </w:tc>
      </w:tr>
      <w:tr w:rsidR="005106B6" w:rsidRPr="005106B6" w:rsidTr="00F51086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6B6" w:rsidRPr="007870E2" w:rsidRDefault="005106B6" w:rsidP="005106B6">
            <w:pPr>
              <w:suppressAutoHyphens w:val="0"/>
              <w:snapToGrid w:val="0"/>
              <w:spacing w:line="240" w:lineRule="atLeast"/>
              <w:rPr>
                <w:rFonts w:ascii="華康仿宋體W6(P)" w:eastAsia="華康仿宋體W6(P)" w:hAnsi="華康仿宋體W6(P)" w:cs="Arial Unicode MS"/>
                <w:kern w:val="0"/>
                <w:szCs w:val="24"/>
              </w:rPr>
            </w:pPr>
            <w:r w:rsidRPr="007870E2">
              <w:rPr>
                <w:rFonts w:ascii="華康仿宋體W6(P)" w:eastAsia="華康仿宋體W6(P)" w:hAnsi="華康仿宋體W6(P)" w:cs="Arial Unicode MS" w:hint="eastAsia"/>
                <w:b/>
                <w:kern w:val="0"/>
                <w:szCs w:val="24"/>
              </w:rPr>
              <w:t>印刷費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6B6" w:rsidRPr="007870E2" w:rsidRDefault="005106B6" w:rsidP="00874A42">
            <w:pPr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核實編列。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6B6" w:rsidRPr="007870E2" w:rsidRDefault="005106B6" w:rsidP="00874A42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pacing w:val="-4"/>
                <w:kern w:val="24"/>
              </w:rPr>
            </w:pPr>
            <w:r w:rsidRPr="007870E2">
              <w:rPr>
                <w:rFonts w:ascii="標楷體" w:eastAsia="標楷體" w:hAnsi="標楷體" w:hint="eastAsia"/>
                <w:spacing w:val="-4"/>
                <w:kern w:val="24"/>
              </w:rPr>
              <w:t>必要時校內簽請核定後執行。</w:t>
            </w:r>
          </w:p>
          <w:p w:rsidR="005106B6" w:rsidRPr="007870E2" w:rsidRDefault="005106B6" w:rsidP="00874A42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檢附廠商發票核實報支。</w:t>
            </w:r>
          </w:p>
        </w:tc>
      </w:tr>
      <w:tr w:rsidR="005106B6" w:rsidRPr="005106B6" w:rsidTr="00F5108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5106B6" w:rsidRDefault="005106B6" w:rsidP="005106B6">
            <w:pPr>
              <w:suppressAutoHyphens w:val="0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學術活動費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7870E2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各類經費編列上限請參考「教育部補助及委辦計畫經費編列基準表」。</w:t>
            </w:r>
          </w:p>
          <w:p w:rsidR="005106B6" w:rsidRPr="007870E2" w:rsidRDefault="005106B6" w:rsidP="007870E2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各類經費實際支給標準請依本校「學術研討會經費支給標準表」規定辦理。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7870E2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不得編列本校支給標準表中「貴賓紀念品、會議結緣品」。</w:t>
            </w:r>
          </w:p>
          <w:p w:rsidR="005106B6" w:rsidRPr="007870E2" w:rsidRDefault="005106B6" w:rsidP="007870E2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其他不得編列項目，請參考本校「執行教育部獎勵私立大學校院校務發展計畫經費作業要點」之「四、經費運用注意事項」之(五)。</w:t>
            </w:r>
          </w:p>
          <w:p w:rsidR="005106B6" w:rsidRPr="007870E2" w:rsidRDefault="005106B6" w:rsidP="007870E2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不能編列之經費由各單位預算支應。</w:t>
            </w:r>
          </w:p>
          <w:p w:rsidR="005106B6" w:rsidRPr="007870E2" w:rsidRDefault="005106B6" w:rsidP="007870E2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校內簽請核定後執行。</w:t>
            </w:r>
          </w:p>
        </w:tc>
      </w:tr>
      <w:tr w:rsidR="005106B6" w:rsidRPr="005106B6" w:rsidTr="005106B6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106B6" w:rsidRPr="005106B6" w:rsidRDefault="005106B6" w:rsidP="005106B6">
            <w:pPr>
              <w:suppressAutoHyphens w:val="0"/>
              <w:jc w:val="center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學生助學及輔導經費</w:t>
            </w:r>
          </w:p>
        </w:tc>
      </w:tr>
      <w:tr w:rsidR="005106B6" w:rsidRPr="005106B6" w:rsidTr="00F5108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5106B6" w:rsidRDefault="005106B6" w:rsidP="005106B6">
            <w:pPr>
              <w:suppressAutoHyphens w:val="0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政府獎</w:t>
            </w:r>
            <w:r w:rsidRPr="005106B6">
              <w:rPr>
                <w:rFonts w:ascii="華康仿宋體W6(P)" w:eastAsia="華康仿宋體W6(P)" w:hint="eastAsia"/>
                <w:b/>
                <w:kern w:val="0"/>
                <w:szCs w:val="24"/>
              </w:rPr>
              <w:t>助</w:t>
            </w: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學金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7870E2">
            <w:pPr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由學務處課外活動與生活輔導組編列。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7870E2">
            <w:pPr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校內簽請核定後執行。</w:t>
            </w:r>
          </w:p>
        </w:tc>
      </w:tr>
      <w:tr w:rsidR="005106B6" w:rsidRPr="005106B6" w:rsidTr="00F5108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5106B6" w:rsidRDefault="005106B6" w:rsidP="005106B6">
            <w:pPr>
              <w:suppressAutoHyphens w:val="0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學生事務及輔導工作之推動經費或學生社團活動所需之器材設備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7870E2">
            <w:pPr>
              <w:pStyle w:val="a7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至少提撥獎補助款之百分之一點五經費。</w:t>
            </w:r>
          </w:p>
          <w:p w:rsidR="005106B6" w:rsidRPr="007870E2" w:rsidRDefault="005106B6" w:rsidP="007870E2">
            <w:pPr>
              <w:pStyle w:val="a7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由學務處編列。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7870E2">
            <w:pPr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校內簽請核定後執行。</w:t>
            </w:r>
          </w:p>
        </w:tc>
      </w:tr>
      <w:tr w:rsidR="005106B6" w:rsidRPr="005106B6" w:rsidTr="005106B6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106B6" w:rsidRPr="005106B6" w:rsidRDefault="005106B6" w:rsidP="005106B6">
            <w:pPr>
              <w:suppressAutoHyphens w:val="0"/>
              <w:jc w:val="center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工程建築經費</w:t>
            </w:r>
          </w:p>
        </w:tc>
      </w:tr>
      <w:tr w:rsidR="005106B6" w:rsidRPr="005106B6" w:rsidTr="00F51086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6B6" w:rsidRPr="005106B6" w:rsidRDefault="005106B6" w:rsidP="005106B6">
            <w:pPr>
              <w:suppressAutoHyphens w:val="0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工程建築經費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6B6" w:rsidRPr="007870E2" w:rsidRDefault="005106B6" w:rsidP="007870E2">
            <w:pPr>
              <w:pStyle w:val="a7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經費以獎補助款之百分之十為限。</w:t>
            </w:r>
          </w:p>
          <w:p w:rsidR="005106B6" w:rsidRPr="007870E2" w:rsidRDefault="005106B6" w:rsidP="007870E2">
            <w:pPr>
              <w:pStyle w:val="a7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由總務處提出申請。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06B6" w:rsidRPr="007870E2" w:rsidRDefault="005106B6" w:rsidP="007870E2">
            <w:pPr>
              <w:pStyle w:val="a7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工程建築內容請參考本校「執行教育部獎勵私立大學校院校務發展計畫經費作業要點」之「三、經費使用範圍」之(四)。</w:t>
            </w:r>
          </w:p>
          <w:p w:rsidR="005106B6" w:rsidRPr="007870E2" w:rsidRDefault="005106B6" w:rsidP="007870E2">
            <w:pPr>
              <w:pStyle w:val="a7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校內簽請核定後執行。</w:t>
            </w:r>
          </w:p>
        </w:tc>
      </w:tr>
      <w:tr w:rsidR="005106B6" w:rsidRPr="005106B6" w:rsidTr="005106B6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06B6" w:rsidRPr="005106B6" w:rsidRDefault="005106B6" w:rsidP="005106B6">
            <w:pPr>
              <w:suppressAutoHyphens w:val="0"/>
              <w:jc w:val="center"/>
              <w:rPr>
                <w:rFonts w:ascii="華康仿宋體W6(P)" w:eastAsia="華康仿宋體W6(P)" w:cs="Microsoft Himalaya"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華康仿宋體W6(P)" w:cs="Arial Unicode MS" w:hint="eastAsia"/>
                <w:b/>
                <w:kern w:val="0"/>
                <w:szCs w:val="24"/>
              </w:rPr>
              <w:t>軟硬體設備經費</w:t>
            </w:r>
          </w:p>
        </w:tc>
      </w:tr>
      <w:tr w:rsidR="005106B6" w:rsidRPr="005106B6" w:rsidTr="00F5108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5106B6" w:rsidRDefault="005106B6" w:rsidP="005106B6">
            <w:pPr>
              <w:suppressAutoHyphens w:val="0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教學研究軟硬體設備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87183E">
            <w:pPr>
              <w:spacing w:afterLines="50" w:after="18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由各單位視實際業務需求編列。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6" w:rsidRPr="007870E2" w:rsidRDefault="005106B6" w:rsidP="007870E2">
            <w:pPr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校內簽請核定後執行。</w:t>
            </w:r>
          </w:p>
        </w:tc>
      </w:tr>
      <w:tr w:rsidR="005106B6" w:rsidRPr="005106B6" w:rsidTr="00F5108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5106B6" w:rsidRDefault="005106B6" w:rsidP="005106B6">
            <w:pPr>
              <w:suppressAutoHyphens w:val="0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圖書經費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87183E">
            <w:pPr>
              <w:spacing w:afterLines="50" w:after="18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由圖書館視實際業務需求編列。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6" w:rsidRPr="007870E2" w:rsidRDefault="005106B6" w:rsidP="007870E2">
            <w:pPr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校內簽請核定後執行。</w:t>
            </w:r>
          </w:p>
        </w:tc>
      </w:tr>
      <w:tr w:rsidR="005106B6" w:rsidRPr="005106B6" w:rsidTr="00F5108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5106B6" w:rsidRDefault="005106B6" w:rsidP="005106B6">
            <w:pPr>
              <w:suppressAutoHyphens w:val="0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非書資料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87183E">
            <w:pPr>
              <w:spacing w:afterLines="50" w:after="18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由圖書館視實際業務需求編列。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6" w:rsidRPr="007870E2" w:rsidRDefault="005106B6" w:rsidP="007870E2">
            <w:pPr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校內簽請核定後執行。</w:t>
            </w:r>
          </w:p>
        </w:tc>
      </w:tr>
      <w:tr w:rsidR="005106B6" w:rsidRPr="005106B6" w:rsidTr="00F5108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5106B6" w:rsidRDefault="005106B6" w:rsidP="005106B6">
            <w:pPr>
              <w:suppressAutoHyphens w:val="0"/>
              <w:rPr>
                <w:rFonts w:ascii="華康仿宋體W6(P)" w:eastAsia="華康仿宋體W6(P)" w:cs="Microsoft Himalaya"/>
                <w:b/>
                <w:kern w:val="2"/>
                <w:szCs w:val="24"/>
              </w:rPr>
            </w:pPr>
            <w:r w:rsidRPr="005106B6">
              <w:rPr>
                <w:rFonts w:ascii="華康仿宋體W6(P)" w:eastAsia="華康仿宋體W6(P)" w:hAnsi="新細明體" w:cs="Microsoft Himalaya" w:hint="eastAsia"/>
                <w:b/>
                <w:kern w:val="0"/>
                <w:szCs w:val="24"/>
              </w:rPr>
              <w:t>加強環境安全衛生、資訊安全及節能工作等軟硬體設備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6" w:rsidRPr="007870E2" w:rsidRDefault="005106B6" w:rsidP="0087183E">
            <w:pPr>
              <w:spacing w:beforeLines="50" w:before="18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由各單位視實際業務需求編列。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6" w:rsidRPr="007870E2" w:rsidRDefault="005106B6" w:rsidP="0087183E">
            <w:pPr>
              <w:spacing w:beforeLines="50" w:before="180"/>
              <w:rPr>
                <w:rFonts w:ascii="標楷體" w:eastAsia="標楷體" w:hAnsi="標楷體"/>
              </w:rPr>
            </w:pPr>
            <w:r w:rsidRPr="007870E2">
              <w:rPr>
                <w:rFonts w:ascii="標楷體" w:eastAsia="標楷體" w:hAnsi="標楷體" w:hint="eastAsia"/>
              </w:rPr>
              <w:t>校內簽請核定後執行。</w:t>
            </w:r>
          </w:p>
        </w:tc>
      </w:tr>
    </w:tbl>
    <w:p w:rsidR="00B13B28" w:rsidRPr="005106B6" w:rsidRDefault="00B13B28"/>
    <w:sectPr w:rsidR="00B13B28" w:rsidRPr="005106B6" w:rsidSect="0060027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9F" w:rsidRDefault="0076399F" w:rsidP="00B727F6">
      <w:r>
        <w:separator/>
      </w:r>
    </w:p>
  </w:endnote>
  <w:endnote w:type="continuationSeparator" w:id="0">
    <w:p w:rsidR="0076399F" w:rsidRDefault="0076399F" w:rsidP="00B7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(P)">
    <w:altName w:val="Arial Unicode MS"/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9F" w:rsidRDefault="0076399F" w:rsidP="00B727F6">
      <w:r>
        <w:separator/>
      </w:r>
    </w:p>
  </w:footnote>
  <w:footnote w:type="continuationSeparator" w:id="0">
    <w:p w:rsidR="0076399F" w:rsidRDefault="0076399F" w:rsidP="00B72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8E2"/>
    <w:multiLevelType w:val="hybridMultilevel"/>
    <w:tmpl w:val="F8EC2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B83F52"/>
    <w:multiLevelType w:val="hybridMultilevel"/>
    <w:tmpl w:val="54DA84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A974D2"/>
    <w:multiLevelType w:val="hybridMultilevel"/>
    <w:tmpl w:val="B64C1522"/>
    <w:lvl w:ilvl="0" w:tplc="F5ECF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E50AEF"/>
    <w:multiLevelType w:val="hybridMultilevel"/>
    <w:tmpl w:val="3B268F06"/>
    <w:lvl w:ilvl="0" w:tplc="78C6D5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E579B5"/>
    <w:multiLevelType w:val="hybridMultilevel"/>
    <w:tmpl w:val="78747514"/>
    <w:lvl w:ilvl="0" w:tplc="F5ECF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280C4C"/>
    <w:multiLevelType w:val="hybridMultilevel"/>
    <w:tmpl w:val="4C42E2A4"/>
    <w:lvl w:ilvl="0" w:tplc="F5ECF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7B523B"/>
    <w:multiLevelType w:val="hybridMultilevel"/>
    <w:tmpl w:val="019AEB0C"/>
    <w:lvl w:ilvl="0" w:tplc="63AE9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897ED3"/>
    <w:multiLevelType w:val="hybridMultilevel"/>
    <w:tmpl w:val="EE0CFCBA"/>
    <w:lvl w:ilvl="0" w:tplc="03C01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E4237D"/>
    <w:multiLevelType w:val="hybridMultilevel"/>
    <w:tmpl w:val="D28E3FD0"/>
    <w:lvl w:ilvl="0" w:tplc="F5ECF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5D31B9"/>
    <w:multiLevelType w:val="hybridMultilevel"/>
    <w:tmpl w:val="070C9466"/>
    <w:lvl w:ilvl="0" w:tplc="F5ECF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D8621D"/>
    <w:multiLevelType w:val="hybridMultilevel"/>
    <w:tmpl w:val="83CC91AA"/>
    <w:lvl w:ilvl="0" w:tplc="F5ECF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857D6E"/>
    <w:multiLevelType w:val="hybridMultilevel"/>
    <w:tmpl w:val="813EC9D6"/>
    <w:lvl w:ilvl="0" w:tplc="63AE9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7D2890"/>
    <w:multiLevelType w:val="hybridMultilevel"/>
    <w:tmpl w:val="691A86AE"/>
    <w:lvl w:ilvl="0" w:tplc="F5ECF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937530"/>
    <w:multiLevelType w:val="hybridMultilevel"/>
    <w:tmpl w:val="E200C4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BB660A"/>
    <w:multiLevelType w:val="hybridMultilevel"/>
    <w:tmpl w:val="88025FE6"/>
    <w:lvl w:ilvl="0" w:tplc="F5ECF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7F763B"/>
    <w:multiLevelType w:val="hybridMultilevel"/>
    <w:tmpl w:val="785833FA"/>
    <w:lvl w:ilvl="0" w:tplc="F5ECF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C752B7"/>
    <w:multiLevelType w:val="hybridMultilevel"/>
    <w:tmpl w:val="3D8EFFC4"/>
    <w:lvl w:ilvl="0" w:tplc="F5ECF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FB2C28"/>
    <w:multiLevelType w:val="hybridMultilevel"/>
    <w:tmpl w:val="5B2E56BA"/>
    <w:lvl w:ilvl="0" w:tplc="9B2EE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321B33"/>
    <w:multiLevelType w:val="hybridMultilevel"/>
    <w:tmpl w:val="5752654E"/>
    <w:lvl w:ilvl="0" w:tplc="F5ECF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193967"/>
    <w:multiLevelType w:val="hybridMultilevel"/>
    <w:tmpl w:val="210299B6"/>
    <w:lvl w:ilvl="0" w:tplc="F5ECF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DF0F25"/>
    <w:multiLevelType w:val="hybridMultilevel"/>
    <w:tmpl w:val="54DA84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2B6031"/>
    <w:multiLevelType w:val="hybridMultilevel"/>
    <w:tmpl w:val="42E0ECAC"/>
    <w:lvl w:ilvl="0" w:tplc="F5ECF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2B7D0A"/>
    <w:multiLevelType w:val="hybridMultilevel"/>
    <w:tmpl w:val="E42C1AFC"/>
    <w:lvl w:ilvl="0" w:tplc="F5ECF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4"/>
  </w:num>
  <w:num w:numId="11">
    <w:abstractNumId w:val="14"/>
  </w:num>
  <w:num w:numId="12">
    <w:abstractNumId w:val="21"/>
  </w:num>
  <w:num w:numId="13">
    <w:abstractNumId w:val="0"/>
  </w:num>
  <w:num w:numId="14">
    <w:abstractNumId w:val="19"/>
  </w:num>
  <w:num w:numId="15">
    <w:abstractNumId w:val="2"/>
  </w:num>
  <w:num w:numId="16">
    <w:abstractNumId w:val="8"/>
  </w:num>
  <w:num w:numId="17">
    <w:abstractNumId w:val="3"/>
  </w:num>
  <w:num w:numId="18">
    <w:abstractNumId w:val="22"/>
  </w:num>
  <w:num w:numId="19">
    <w:abstractNumId w:val="12"/>
  </w:num>
  <w:num w:numId="20">
    <w:abstractNumId w:val="13"/>
  </w:num>
  <w:num w:numId="21">
    <w:abstractNumId w:val="6"/>
  </w:num>
  <w:num w:numId="22">
    <w:abstractNumId w:val="11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7D"/>
    <w:rsid w:val="00081560"/>
    <w:rsid w:val="00242000"/>
    <w:rsid w:val="00245C50"/>
    <w:rsid w:val="002920F3"/>
    <w:rsid w:val="00293C6D"/>
    <w:rsid w:val="00356F06"/>
    <w:rsid w:val="004557E6"/>
    <w:rsid w:val="004B277D"/>
    <w:rsid w:val="004F2368"/>
    <w:rsid w:val="005106B6"/>
    <w:rsid w:val="005C6D0A"/>
    <w:rsid w:val="0060027D"/>
    <w:rsid w:val="00665D36"/>
    <w:rsid w:val="0076399F"/>
    <w:rsid w:val="007870E2"/>
    <w:rsid w:val="007A39E8"/>
    <w:rsid w:val="0087183E"/>
    <w:rsid w:val="00874A42"/>
    <w:rsid w:val="00883C87"/>
    <w:rsid w:val="008B613B"/>
    <w:rsid w:val="0096275A"/>
    <w:rsid w:val="00B13B28"/>
    <w:rsid w:val="00B727F6"/>
    <w:rsid w:val="00D2015B"/>
    <w:rsid w:val="00F51086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66B7C"/>
  <w15:docId w15:val="{EE960E9B-B9EC-4F1D-AAD4-E798CD2B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7D"/>
    <w:pPr>
      <w:widowControl w:val="0"/>
      <w:suppressAutoHyphens/>
    </w:pPr>
    <w:rPr>
      <w:rFonts w:ascii="Calibri" w:eastAsia="新細明體" w:hAnsi="Calibri" w:cs="Times New Roman"/>
      <w:kern w:val="1"/>
    </w:rPr>
  </w:style>
  <w:style w:type="paragraph" w:styleId="1">
    <w:name w:val="heading 1"/>
    <w:basedOn w:val="a"/>
    <w:next w:val="a"/>
    <w:link w:val="10"/>
    <w:qFormat/>
    <w:rsid w:val="008B613B"/>
    <w:pPr>
      <w:keepNext/>
      <w:adjustRightInd w:val="0"/>
      <w:snapToGrid w:val="0"/>
      <w:spacing w:line="288" w:lineRule="auto"/>
      <w:textAlignment w:val="baseline"/>
      <w:outlineLvl w:val="0"/>
    </w:pPr>
    <w:rPr>
      <w:rFonts w:asciiTheme="majorHAnsi" w:eastAsia="標楷體" w:hAnsiTheme="majorHAnsi" w:cstheme="majorBidi"/>
      <w:b/>
      <w:bCs/>
      <w:kern w:val="52"/>
      <w:szCs w:val="52"/>
    </w:rPr>
  </w:style>
  <w:style w:type="paragraph" w:styleId="5">
    <w:name w:val="heading 5"/>
    <w:basedOn w:val="a"/>
    <w:next w:val="a"/>
    <w:link w:val="50"/>
    <w:uiPriority w:val="9"/>
    <w:unhideWhenUsed/>
    <w:qFormat/>
    <w:rsid w:val="00665D36"/>
    <w:pPr>
      <w:keepNext/>
      <w:snapToGrid w:val="0"/>
      <w:spacing w:line="288" w:lineRule="auto"/>
      <w:ind w:leftChars="200"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B613B"/>
    <w:rPr>
      <w:rFonts w:asciiTheme="majorHAnsi" w:eastAsia="標楷體" w:hAnsiTheme="majorHAnsi" w:cstheme="majorBidi"/>
      <w:b/>
      <w:bCs/>
      <w:kern w:val="52"/>
      <w:szCs w:val="52"/>
    </w:rPr>
  </w:style>
  <w:style w:type="character" w:customStyle="1" w:styleId="50">
    <w:name w:val="標題 5 字元"/>
    <w:basedOn w:val="a0"/>
    <w:link w:val="5"/>
    <w:uiPriority w:val="9"/>
    <w:rsid w:val="00665D36"/>
    <w:rPr>
      <w:rFonts w:asciiTheme="majorHAnsi" w:eastAsia="標楷體" w:hAnsiTheme="majorHAnsi" w:cstheme="majorBidi"/>
      <w:bCs/>
      <w:szCs w:val="36"/>
    </w:rPr>
  </w:style>
  <w:style w:type="paragraph" w:styleId="a3">
    <w:name w:val="header"/>
    <w:basedOn w:val="a"/>
    <w:link w:val="a4"/>
    <w:uiPriority w:val="99"/>
    <w:unhideWhenUsed/>
    <w:rsid w:val="00B72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27F6"/>
    <w:rPr>
      <w:rFonts w:ascii="Calibri" w:eastAsia="新細明體" w:hAnsi="Calibri" w:cs="Times New Roman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2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27F6"/>
    <w:rPr>
      <w:rFonts w:ascii="Calibri" w:eastAsia="新細明體" w:hAnsi="Calibri" w:cs="Times New Roman"/>
      <w:kern w:val="1"/>
      <w:sz w:val="20"/>
      <w:szCs w:val="20"/>
    </w:rPr>
  </w:style>
  <w:style w:type="paragraph" w:styleId="a7">
    <w:name w:val="List Paragraph"/>
    <w:basedOn w:val="a"/>
    <w:uiPriority w:val="34"/>
    <w:qFormat/>
    <w:rsid w:val="00874A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ymlin</cp:lastModifiedBy>
  <cp:revision>12</cp:revision>
  <cp:lastPrinted>2020-10-05T03:12:00Z</cp:lastPrinted>
  <dcterms:created xsi:type="dcterms:W3CDTF">2017-06-15T07:51:00Z</dcterms:created>
  <dcterms:modified xsi:type="dcterms:W3CDTF">2020-10-06T07:19:00Z</dcterms:modified>
</cp:coreProperties>
</file>