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46" w:rsidRDefault="00E63946" w:rsidP="00666097">
      <w:pPr>
        <w:widowControl/>
        <w:snapToGrid w:val="0"/>
        <w:jc w:val="center"/>
        <w:rPr>
          <w:rFonts w:ascii="華康仿宋體W6(P)" w:eastAsia="華康仿宋體W6(P)" w:hAnsi="華康標楷體(P)" w:cs="華康標楷體(P)" w:hint="eastAsia"/>
          <w:b/>
        </w:rPr>
      </w:pPr>
      <w:bookmarkStart w:id="0" w:name="_GoBack"/>
      <w:proofErr w:type="gramStart"/>
      <w:r>
        <w:rPr>
          <w:rFonts w:ascii="華康仿宋體W6(P)" w:eastAsia="華康仿宋體W6(P)" w:hAnsi="華康標楷體(P)" w:cs="華康標楷體(P)" w:hint="eastAsia"/>
          <w:b/>
        </w:rPr>
        <w:t>樽</w:t>
      </w:r>
      <w:proofErr w:type="gramEnd"/>
      <w:r>
        <w:rPr>
          <w:rFonts w:ascii="華康仿宋體W6(P)" w:eastAsia="華康仿宋體W6(P)" w:hAnsi="華康標楷體(P)" w:cs="華康標楷體(P)" w:hint="eastAsia"/>
          <w:b/>
        </w:rPr>
        <w:t>節校務基金倡導措施</w:t>
      </w:r>
    </w:p>
    <w:bookmarkEnd w:id="0"/>
    <w:p w:rsidR="00666097" w:rsidRDefault="00666097" w:rsidP="00666097">
      <w:pPr>
        <w:widowControl/>
        <w:snapToGrid w:val="0"/>
        <w:jc w:val="center"/>
        <w:rPr>
          <w:rFonts w:ascii="華康仿宋體W6(P)" w:eastAsia="華康仿宋體W6(P)" w:hAnsi="華康標楷體(P)" w:cs="華康標楷體(P)"/>
          <w:b/>
        </w:rPr>
      </w:pPr>
    </w:p>
    <w:p w:rsidR="00E63946" w:rsidRPr="005661DD" w:rsidRDefault="00E63946" w:rsidP="00E63946">
      <w:pPr>
        <w:widowControl/>
        <w:snapToGrid w:val="0"/>
        <w:rPr>
          <w:rFonts w:ascii="華康仿宋體W6(P)" w:eastAsia="華康仿宋體W6(P)" w:hAnsi="華康標楷體(P)" w:cs="華康標楷體(P)"/>
        </w:rPr>
      </w:pPr>
      <w:r w:rsidRPr="005661DD">
        <w:rPr>
          <w:rFonts w:ascii="華康仿宋體W6(P)" w:eastAsia="華康仿宋體W6(P)" w:hAnsi="華康標楷體(P)" w:cs="華康標楷體(P)" w:hint="eastAsia"/>
        </w:rPr>
        <w:t>以下經費項目，</w:t>
      </w:r>
      <w:r w:rsidR="00666097">
        <w:rPr>
          <w:rFonts w:ascii="華康仿宋體W6(P)" w:eastAsia="華康仿宋體W6(P)" w:hAnsi="華康標楷體(P)" w:cs="華康標楷體(P)" w:hint="eastAsia"/>
        </w:rPr>
        <w:t>鼓勵優先</w:t>
      </w:r>
      <w:r>
        <w:rPr>
          <w:rFonts w:ascii="華康仿宋體W6(P)" w:eastAsia="華康仿宋體W6(P)" w:hAnsi="華康標楷體(P)" w:cs="華康標楷體(P)" w:hint="eastAsia"/>
        </w:rPr>
        <w:t>由</w:t>
      </w:r>
      <w:r w:rsidR="00666097">
        <w:rPr>
          <w:rFonts w:ascii="華康仿宋體W6(P)" w:eastAsia="華康仿宋體W6(P)" w:hAnsi="華康標楷體(P)" w:cs="華康標楷體(P)" w:hint="eastAsia"/>
        </w:rPr>
        <w:t>「校務發展計畫經費」進行申請。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76"/>
      </w:tblGrid>
      <w:tr w:rsidR="00E63946" w:rsidRPr="003F1947" w:rsidTr="008B7C0E">
        <w:tc>
          <w:tcPr>
            <w:tcW w:w="1951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專家演講費</w:t>
            </w:r>
          </w:p>
        </w:tc>
        <w:tc>
          <w:tcPr>
            <w:tcW w:w="7743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學系、學程、中心等單位。</w:t>
            </w:r>
          </w:p>
        </w:tc>
      </w:tr>
      <w:tr w:rsidR="00E63946" w:rsidRPr="003F1947" w:rsidTr="008B7C0E">
        <w:tc>
          <w:tcPr>
            <w:tcW w:w="1951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教學助理</w:t>
            </w:r>
          </w:p>
        </w:tc>
        <w:tc>
          <w:tcPr>
            <w:tcW w:w="7743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proofErr w:type="gramStart"/>
            <w:r w:rsidRPr="003F1947">
              <w:rPr>
                <w:rFonts w:ascii="華康仿宋體W6(P)" w:eastAsia="華康仿宋體W6(P)" w:hAnsi="華康標楷體(P)" w:cs="華康標楷體(P)" w:hint="eastAsia"/>
              </w:rPr>
              <w:t>心環中心</w:t>
            </w:r>
            <w:proofErr w:type="gramEnd"/>
            <w:r w:rsidRPr="003F1947">
              <w:rPr>
                <w:rFonts w:ascii="華康仿宋體W6(P)" w:eastAsia="華康仿宋體W6(P)" w:hAnsi="華康標楷體(P)" w:cs="華康標楷體(P)" w:hint="eastAsia"/>
              </w:rPr>
              <w:t>。</w:t>
            </w:r>
          </w:p>
        </w:tc>
      </w:tr>
      <w:tr w:rsidR="00E63946" w:rsidRPr="003F1947" w:rsidTr="008B7C0E">
        <w:tc>
          <w:tcPr>
            <w:tcW w:w="1951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教師升等審查</w:t>
            </w:r>
          </w:p>
        </w:tc>
        <w:tc>
          <w:tcPr>
            <w:tcW w:w="7743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人事室</w:t>
            </w:r>
          </w:p>
        </w:tc>
      </w:tr>
      <w:tr w:rsidR="00E63946" w:rsidRPr="003F1947" w:rsidTr="008B7C0E">
        <w:tc>
          <w:tcPr>
            <w:tcW w:w="1951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衛生與節能設備</w:t>
            </w:r>
          </w:p>
        </w:tc>
        <w:tc>
          <w:tcPr>
            <w:tcW w:w="7743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除濕機、電風扇、檯燈、燈具、</w:t>
            </w:r>
          </w:p>
        </w:tc>
      </w:tr>
      <w:tr w:rsidR="00E63946" w:rsidRPr="003F1947" w:rsidTr="008B7C0E">
        <w:tc>
          <w:tcPr>
            <w:tcW w:w="1951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圖書儀器</w:t>
            </w:r>
          </w:p>
        </w:tc>
        <w:tc>
          <w:tcPr>
            <w:tcW w:w="7743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教學研究指定用書、輔導書籍用品。</w:t>
            </w:r>
          </w:p>
        </w:tc>
      </w:tr>
      <w:tr w:rsidR="00E63946" w:rsidRPr="003F1947" w:rsidTr="008B7C0E">
        <w:tc>
          <w:tcPr>
            <w:tcW w:w="1951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教學設備</w:t>
            </w:r>
          </w:p>
        </w:tc>
        <w:tc>
          <w:tcPr>
            <w:tcW w:w="7743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錄影機、相機、錄音筆、投影筆、滑鼠、白板用品、投影機、麥克風等</w:t>
            </w:r>
          </w:p>
        </w:tc>
      </w:tr>
      <w:tr w:rsidR="00E63946" w:rsidRPr="003F1947" w:rsidTr="008B7C0E">
        <w:tc>
          <w:tcPr>
            <w:tcW w:w="1951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社團器材設備</w:t>
            </w:r>
          </w:p>
        </w:tc>
        <w:tc>
          <w:tcPr>
            <w:tcW w:w="7743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球具、書畫、樂器等。</w:t>
            </w:r>
          </w:p>
        </w:tc>
      </w:tr>
      <w:tr w:rsidR="00E63946" w:rsidRPr="003F1947" w:rsidTr="008B7C0E">
        <w:tc>
          <w:tcPr>
            <w:tcW w:w="1951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教學研究軟體</w:t>
            </w:r>
          </w:p>
        </w:tc>
        <w:tc>
          <w:tcPr>
            <w:tcW w:w="7743" w:type="dxa"/>
            <w:shd w:val="clear" w:color="auto" w:fill="auto"/>
          </w:tcPr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華康標楷體(P)" w:cs="華康標楷體(P)" w:hint="eastAsia"/>
              </w:rPr>
              <w:t>質性、量化、繪圖、編輯</w:t>
            </w:r>
            <w:r>
              <w:rPr>
                <w:rFonts w:ascii="華康仿宋體W6(P)" w:eastAsia="華康仿宋體W6(P)" w:hAnsi="華康標楷體(P)" w:cs="華康標楷體(P)" w:hint="eastAsia"/>
              </w:rPr>
              <w:t>等</w:t>
            </w:r>
            <w:r w:rsidRPr="003F1947">
              <w:rPr>
                <w:rFonts w:ascii="華康仿宋體W6(P)" w:eastAsia="華康仿宋體W6(P)" w:hAnsi="華康標楷體(P)" w:cs="華康標楷體(P)" w:hint="eastAsia"/>
              </w:rPr>
              <w:t>教學研究軟體。</w:t>
            </w:r>
          </w:p>
        </w:tc>
      </w:tr>
      <w:tr w:rsidR="00E63946" w:rsidRPr="003F1947" w:rsidTr="008B7C0E">
        <w:tc>
          <w:tcPr>
            <w:tcW w:w="9694" w:type="dxa"/>
            <w:gridSpan w:val="2"/>
            <w:shd w:val="clear" w:color="auto" w:fill="auto"/>
          </w:tcPr>
          <w:p w:rsidR="00E63946" w:rsidRPr="003F1947" w:rsidRDefault="00E63946" w:rsidP="008B7C0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微軟正黑體" w:cs="Arial"/>
                <w:color w:val="000000"/>
                <w:sz w:val="21"/>
              </w:rPr>
            </w:pP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>其他可申請經費項目</w:t>
            </w:r>
          </w:p>
          <w:p w:rsidR="00E63946" w:rsidRPr="003F1947" w:rsidRDefault="00E63946" w:rsidP="008B7C0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微軟正黑體" w:cs="Arial"/>
                <w:color w:val="000000"/>
                <w:sz w:val="21"/>
              </w:rPr>
            </w:pP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 xml:space="preserve">　　　　　　1) 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  <w:u w:val="single"/>
              </w:rPr>
              <w:t>教師人事經費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>：彈性薪資、升等審查等。</w:t>
            </w:r>
          </w:p>
          <w:p w:rsidR="00E63946" w:rsidRPr="003F1947" w:rsidRDefault="00E63946" w:rsidP="008B7C0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微軟正黑體" w:cs="Arial"/>
                <w:color w:val="000000"/>
                <w:sz w:val="21"/>
              </w:rPr>
            </w:pP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 xml:space="preserve">　　　　　　2) 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  <w:u w:val="single"/>
              </w:rPr>
              <w:t>教學經費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>：演講費、實習活動保險、門票費、自編教材等。</w:t>
            </w:r>
          </w:p>
          <w:p w:rsidR="00E63946" w:rsidRPr="003F1947" w:rsidRDefault="00E63946" w:rsidP="008B7C0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微軟正黑體" w:cs="Arial"/>
                <w:color w:val="000000"/>
                <w:sz w:val="21"/>
              </w:rPr>
            </w:pP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 xml:space="preserve">　　　　　　3) 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  <w:u w:val="single"/>
              </w:rPr>
              <w:t>研究經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>費：著作審查費、研討會之交通與註冊費等。</w:t>
            </w:r>
          </w:p>
          <w:p w:rsidR="00E63946" w:rsidRPr="003F1947" w:rsidRDefault="00E63946" w:rsidP="008B7C0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微軟正黑體" w:cs="Arial"/>
                <w:color w:val="000000"/>
                <w:sz w:val="21"/>
              </w:rPr>
            </w:pP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 xml:space="preserve">　　　　　　4) 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  <w:u w:val="single"/>
              </w:rPr>
              <w:t>學生助學與輔導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>： TA獎助學金、學生社團器材設備等。</w:t>
            </w:r>
          </w:p>
          <w:p w:rsidR="00E63946" w:rsidRPr="003F1947" w:rsidRDefault="00E63946" w:rsidP="008B7C0E">
            <w:pPr>
              <w:widowControl/>
              <w:snapToGrid w:val="0"/>
              <w:spacing w:line="360" w:lineRule="atLeast"/>
              <w:rPr>
                <w:rFonts w:ascii="華康仿宋體W6(P)" w:eastAsia="華康仿宋體W6(P)" w:hAnsi="華康標楷體(P)" w:cs="華康標楷體(P)"/>
              </w:rPr>
            </w:pP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 xml:space="preserve">            5) 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  <w:u w:val="single"/>
              </w:rPr>
              <w:t>軟硬體設備</w:t>
            </w:r>
            <w:r w:rsidRPr="003F1947">
              <w:rPr>
                <w:rFonts w:ascii="華康仿宋體W6(P)" w:eastAsia="華康仿宋體W6(P)" w:hAnsi="微軟正黑體" w:cs="Arial" w:hint="eastAsia"/>
                <w:color w:val="000000"/>
                <w:sz w:val="21"/>
              </w:rPr>
              <w:t>：圖書、教研器材設備、環境安全設備、衛生與節能設備等。</w:t>
            </w:r>
          </w:p>
        </w:tc>
      </w:tr>
    </w:tbl>
    <w:p w:rsidR="00B13B28" w:rsidRPr="00E63946" w:rsidRDefault="00B13B28"/>
    <w:sectPr w:rsidR="00B13B28" w:rsidRPr="00E639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華康標楷體(P)">
    <w:altName w:val="Arial Unicode MS"/>
    <w:charset w:val="88"/>
    <w:family w:val="script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6"/>
    <w:rsid w:val="00104571"/>
    <w:rsid w:val="00665D36"/>
    <w:rsid w:val="00666097"/>
    <w:rsid w:val="008B613B"/>
    <w:rsid w:val="00B13B28"/>
    <w:rsid w:val="00E63946"/>
    <w:rsid w:val="00E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46"/>
    <w:pPr>
      <w:widowControl w:val="0"/>
      <w:suppressAutoHyphens/>
    </w:pPr>
    <w:rPr>
      <w:rFonts w:ascii="Calibri" w:eastAsia="SimSun" w:hAnsi="Calibri" w:cs="Calibri"/>
      <w:kern w:val="1"/>
    </w:rPr>
  </w:style>
  <w:style w:type="paragraph" w:styleId="1">
    <w:name w:val="heading 1"/>
    <w:basedOn w:val="a"/>
    <w:next w:val="a"/>
    <w:link w:val="10"/>
    <w:qFormat/>
    <w:rsid w:val="008B613B"/>
    <w:pPr>
      <w:keepNext/>
      <w:suppressAutoHyphens w:val="0"/>
      <w:adjustRightInd w:val="0"/>
      <w:snapToGrid w:val="0"/>
      <w:spacing w:line="288" w:lineRule="auto"/>
      <w:textAlignment w:val="baseline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uppressAutoHyphens w:val="0"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B613B"/>
    <w:rPr>
      <w:rFonts w:asciiTheme="majorHAnsi" w:eastAsia="標楷體" w:hAnsiTheme="majorHAnsi" w:cstheme="majorBidi"/>
      <w:b/>
      <w:bCs/>
      <w:kern w:val="5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46"/>
    <w:pPr>
      <w:widowControl w:val="0"/>
      <w:suppressAutoHyphens/>
    </w:pPr>
    <w:rPr>
      <w:rFonts w:ascii="Calibri" w:eastAsia="SimSun" w:hAnsi="Calibri" w:cs="Calibri"/>
      <w:kern w:val="1"/>
    </w:rPr>
  </w:style>
  <w:style w:type="paragraph" w:styleId="1">
    <w:name w:val="heading 1"/>
    <w:basedOn w:val="a"/>
    <w:next w:val="a"/>
    <w:link w:val="10"/>
    <w:qFormat/>
    <w:rsid w:val="008B613B"/>
    <w:pPr>
      <w:keepNext/>
      <w:suppressAutoHyphens w:val="0"/>
      <w:adjustRightInd w:val="0"/>
      <w:snapToGrid w:val="0"/>
      <w:spacing w:line="288" w:lineRule="auto"/>
      <w:textAlignment w:val="baseline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paragraph" w:styleId="5">
    <w:name w:val="heading 5"/>
    <w:basedOn w:val="a"/>
    <w:next w:val="a"/>
    <w:link w:val="50"/>
    <w:uiPriority w:val="9"/>
    <w:unhideWhenUsed/>
    <w:qFormat/>
    <w:rsid w:val="00665D36"/>
    <w:pPr>
      <w:keepNext/>
      <w:suppressAutoHyphens w:val="0"/>
      <w:snapToGrid w:val="0"/>
      <w:spacing w:line="288" w:lineRule="auto"/>
      <w:ind w:leftChars="200" w:left="200"/>
      <w:outlineLvl w:val="4"/>
    </w:pPr>
    <w:rPr>
      <w:rFonts w:asciiTheme="majorHAnsi" w:eastAsia="標楷體" w:hAnsiTheme="majorHAnsi" w:cstheme="majorBidi"/>
      <w:bCs/>
      <w:kern w:val="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B613B"/>
    <w:rPr>
      <w:rFonts w:asciiTheme="majorHAnsi" w:eastAsia="標楷體" w:hAnsiTheme="majorHAnsi" w:cstheme="majorBidi"/>
      <w:b/>
      <w:bCs/>
      <w:kern w:val="52"/>
      <w:szCs w:val="52"/>
    </w:rPr>
  </w:style>
  <w:style w:type="character" w:customStyle="1" w:styleId="50">
    <w:name w:val="標題 5 字元"/>
    <w:basedOn w:val="a0"/>
    <w:link w:val="5"/>
    <w:uiPriority w:val="9"/>
    <w:rsid w:val="00665D36"/>
    <w:rPr>
      <w:rFonts w:asciiTheme="majorHAnsi" w:eastAsia="標楷體" w:hAnsiTheme="majorHAnsi" w:cstheme="majorBidi"/>
      <w:bCs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2017-03-24T06:50:00Z</dcterms:created>
  <dcterms:modified xsi:type="dcterms:W3CDTF">2017-03-24T06:50:00Z</dcterms:modified>
</cp:coreProperties>
</file>